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3C9E" w14:textId="0899251D" w:rsidR="00E83884" w:rsidRPr="008176E6" w:rsidRDefault="001848A8" w:rsidP="00C959D4">
      <w:pPr>
        <w:pStyle w:val="Heading1"/>
      </w:pPr>
      <w:r w:rsidRPr="008176E6">
        <w:t>Publishable Summary</w:t>
      </w:r>
      <w:r w:rsidR="00B72E59" w:rsidRPr="008176E6">
        <w:rPr>
          <w:szCs w:val="28"/>
        </w:rPr>
        <w:t xml:space="preserve"> for</w:t>
      </w:r>
      <w:r w:rsidR="00D70999">
        <w:rPr>
          <w:szCs w:val="28"/>
        </w:rPr>
        <w:t xml:space="preserve"> 18NRM0</w:t>
      </w:r>
      <w:r w:rsidR="006D16D6">
        <w:rPr>
          <w:szCs w:val="28"/>
        </w:rPr>
        <w:t>1</w:t>
      </w:r>
      <w:r w:rsidR="00D70999">
        <w:rPr>
          <w:szCs w:val="28"/>
        </w:rPr>
        <w:t xml:space="preserve"> </w:t>
      </w:r>
      <w:r w:rsidR="006D16D6">
        <w:rPr>
          <w:szCs w:val="28"/>
        </w:rPr>
        <w:t>EDC-WFD</w:t>
      </w:r>
    </w:p>
    <w:p w14:paraId="30F4E924" w14:textId="62791A90" w:rsidR="0028207D" w:rsidRDefault="006D16D6" w:rsidP="00130F78">
      <w:pPr>
        <w:pStyle w:val="Header"/>
        <w:tabs>
          <w:tab w:val="clear" w:pos="4536"/>
          <w:tab w:val="clear" w:pos="9072"/>
        </w:tabs>
        <w:jc w:val="center"/>
        <w:rPr>
          <w:rFonts w:ascii="Arial" w:hAnsi="Arial"/>
          <w:b/>
          <w:lang w:val="en-GB"/>
        </w:rPr>
      </w:pPr>
      <w:r>
        <w:rPr>
          <w:rFonts w:ascii="Arial" w:eastAsia="SimSun" w:hAnsi="Arial" w:cs="Arial"/>
          <w:b/>
          <w:bCs/>
          <w:sz w:val="28"/>
          <w:lang w:val="en-GB" w:eastAsia="zh-CN"/>
        </w:rPr>
        <w:t>Metrology for monitoring endocrine disrupting compounds under the Water Framework Directive</w:t>
      </w:r>
    </w:p>
    <w:p w14:paraId="7FF2C0FF" w14:textId="77777777" w:rsidR="006D16D6" w:rsidRDefault="006D16D6" w:rsidP="00F33779">
      <w:pPr>
        <w:pStyle w:val="Header"/>
        <w:tabs>
          <w:tab w:val="clear" w:pos="4536"/>
          <w:tab w:val="clear" w:pos="9072"/>
        </w:tabs>
        <w:rPr>
          <w:rFonts w:ascii="Arial" w:hAnsi="Arial"/>
          <w:b/>
          <w:lang w:val="en-GB"/>
        </w:rPr>
      </w:pPr>
    </w:p>
    <w:p w14:paraId="09673CA9" w14:textId="66D7CD7A" w:rsidR="00711110" w:rsidRPr="008176E6" w:rsidRDefault="00711110" w:rsidP="00F33779">
      <w:pPr>
        <w:pStyle w:val="Header"/>
        <w:tabs>
          <w:tab w:val="clear" w:pos="4536"/>
          <w:tab w:val="clear" w:pos="9072"/>
        </w:tabs>
        <w:rPr>
          <w:rFonts w:ascii="Arial" w:hAnsi="Arial"/>
          <w:b/>
          <w:lang w:val="en-GB"/>
        </w:rPr>
      </w:pPr>
      <w:r w:rsidRPr="008176E6">
        <w:rPr>
          <w:rFonts w:ascii="Arial" w:hAnsi="Arial"/>
          <w:b/>
          <w:lang w:val="en-GB"/>
        </w:rPr>
        <w:t>Overview</w:t>
      </w:r>
    </w:p>
    <w:p w14:paraId="55C36E0F" w14:textId="5392DF82" w:rsidR="006D16D6" w:rsidRPr="005E3D43" w:rsidRDefault="006D16D6" w:rsidP="006D16D6">
      <w:pPr>
        <w:pStyle w:val="EMPIRbodytext"/>
        <w:rPr>
          <w:rFonts w:cs="Arial"/>
        </w:rPr>
      </w:pPr>
      <w:r w:rsidRPr="005E3D43">
        <w:rPr>
          <w:rFonts w:cs="Arial"/>
        </w:rPr>
        <w:t>Natural and pharmaceutical estrogens are key Endocrine Disrupting Chemicals (EDC) which are monitored differently depending on the country, and for which</w:t>
      </w:r>
      <w:r w:rsidRPr="005E3D43">
        <w:rPr>
          <w:rFonts w:cs="Arial"/>
          <w:lang w:eastAsia="en-US"/>
        </w:rPr>
        <w:t xml:space="preserve"> standardised reference methods are currently not available. The overall objective of the project is to develop reliable and harmonised measurement methods for estrogens, </w:t>
      </w:r>
      <w:r w:rsidRPr="005E3D43">
        <w:rPr>
          <w:rFonts w:cs="Arial"/>
        </w:rPr>
        <w:t xml:space="preserve">to comply with the </w:t>
      </w:r>
      <w:r w:rsidRPr="005E3D43">
        <w:rPr>
          <w:rFonts w:cs="Arial"/>
          <w:lang w:eastAsia="en-US"/>
        </w:rPr>
        <w:t xml:space="preserve">Water Framework Directive requirements (Directive 2013/39EC, Commission Directive 2009/90/EC and Commission Implementation Decision (EU) 2018/840). The outcomes of this project, </w:t>
      </w:r>
      <w:r w:rsidRPr="005E3D43">
        <w:rPr>
          <w:rFonts w:cs="Arial"/>
        </w:rPr>
        <w:t xml:space="preserve">in particular the validated </w:t>
      </w:r>
      <w:r w:rsidR="00D011BC">
        <w:rPr>
          <w:rFonts w:cs="Arial"/>
        </w:rPr>
        <w:t>m</w:t>
      </w:r>
      <w:r w:rsidR="00D011BC" w:rsidRPr="005E3D43">
        <w:rPr>
          <w:rFonts w:cs="Arial"/>
        </w:rPr>
        <w:t xml:space="preserve">ass </w:t>
      </w:r>
      <w:r w:rsidR="00D011BC">
        <w:rPr>
          <w:rFonts w:cs="Arial"/>
        </w:rPr>
        <w:t>s</w:t>
      </w:r>
      <w:r w:rsidR="00D011BC" w:rsidRPr="005E3D43">
        <w:rPr>
          <w:rFonts w:cs="Arial"/>
        </w:rPr>
        <w:t>pectrometry</w:t>
      </w:r>
      <w:r w:rsidR="00D011BC">
        <w:rPr>
          <w:rFonts w:cs="Arial"/>
        </w:rPr>
        <w:t xml:space="preserve"> (MS) </w:t>
      </w:r>
      <w:r w:rsidRPr="005E3D43">
        <w:rPr>
          <w:rFonts w:cs="Arial"/>
        </w:rPr>
        <w:t xml:space="preserve">based reference methods, </w:t>
      </w:r>
      <w:r w:rsidRPr="005E3D43">
        <w:rPr>
          <w:rFonts w:cs="Arial"/>
          <w:lang w:eastAsia="en-US"/>
        </w:rPr>
        <w:t xml:space="preserve">will be disseminated to </w:t>
      </w:r>
      <w:r w:rsidRPr="005E3D43">
        <w:rPr>
          <w:rFonts w:cs="Arial"/>
        </w:rPr>
        <w:t xml:space="preserve">CEN/ TC 230 and ISO/ TC 147 to be fed into the documentary standards they develop. </w:t>
      </w:r>
    </w:p>
    <w:p w14:paraId="5DAAB44D" w14:textId="77777777" w:rsidR="00C959D4" w:rsidRPr="008176E6" w:rsidRDefault="00C959D4" w:rsidP="00777FC7">
      <w:pPr>
        <w:pStyle w:val="Header"/>
        <w:tabs>
          <w:tab w:val="clear" w:pos="4536"/>
          <w:tab w:val="clear" w:pos="9072"/>
          <w:tab w:val="left" w:pos="933"/>
        </w:tabs>
        <w:rPr>
          <w:rFonts w:ascii="Arial" w:hAnsi="Arial"/>
          <w:b/>
          <w:lang w:val="en-GB"/>
        </w:rPr>
      </w:pPr>
    </w:p>
    <w:p w14:paraId="09673CAD" w14:textId="77777777" w:rsidR="005945D8" w:rsidRPr="008176E6" w:rsidRDefault="00F35B0B" w:rsidP="00F33779">
      <w:pPr>
        <w:pStyle w:val="Header"/>
        <w:tabs>
          <w:tab w:val="clear" w:pos="4536"/>
          <w:tab w:val="clear" w:pos="9072"/>
        </w:tabs>
        <w:rPr>
          <w:rFonts w:ascii="Arial" w:hAnsi="Arial"/>
          <w:b/>
          <w:lang w:val="en-GB"/>
        </w:rPr>
      </w:pPr>
      <w:r w:rsidRPr="008176E6">
        <w:rPr>
          <w:rFonts w:ascii="Arial" w:hAnsi="Arial"/>
          <w:b/>
          <w:lang w:val="en-GB"/>
        </w:rPr>
        <w:t>Need</w:t>
      </w:r>
    </w:p>
    <w:p w14:paraId="330EF8B4" w14:textId="2EF06667" w:rsidR="006D16D6" w:rsidRPr="006D16D6" w:rsidRDefault="006D16D6" w:rsidP="006D16D6">
      <w:pPr>
        <w:pStyle w:val="EMPIRbodytext"/>
        <w:rPr>
          <w:rFonts w:cs="Arial"/>
          <w:lang w:eastAsia="en-US"/>
        </w:rPr>
      </w:pPr>
      <w:r w:rsidRPr="005E3D43">
        <w:rPr>
          <w:rFonts w:cs="Arial"/>
          <w:lang w:eastAsia="en-US"/>
        </w:rPr>
        <w:t xml:space="preserve">It is known that estrogens may end up in surface waters </w:t>
      </w:r>
      <w:r w:rsidRPr="0009466E">
        <w:rPr>
          <w:rFonts w:cs="Arial"/>
          <w:i/>
          <w:lang w:eastAsia="en-US"/>
        </w:rPr>
        <w:t>via</w:t>
      </w:r>
      <w:r w:rsidRPr="005E3D43">
        <w:rPr>
          <w:rFonts w:cs="Arial"/>
          <w:lang w:eastAsia="en-US"/>
        </w:rPr>
        <w:t xml:space="preserve"> wastewater, and due to their physicochemical properties, they can partition in the different compartments (water and suspended particulate matter (SPM)) of water systems. Despite occurring at ultra-trace levels (below ng/L), it is believed that they are</w:t>
      </w:r>
      <w:r w:rsidR="009131D6">
        <w:rPr>
          <w:rFonts w:cs="Arial"/>
          <w:lang w:eastAsia="en-US"/>
        </w:rPr>
        <w:t>,</w:t>
      </w:r>
      <w:r w:rsidRPr="005E3D43">
        <w:rPr>
          <w:rFonts w:cs="Arial"/>
          <w:lang w:eastAsia="en-US"/>
        </w:rPr>
        <w:t xml:space="preserve"> </w:t>
      </w:r>
      <w:r w:rsidR="0009466E">
        <w:rPr>
          <w:rFonts w:cs="Arial"/>
          <w:lang w:eastAsia="en-US"/>
        </w:rPr>
        <w:t>due to their estrogenic potency</w:t>
      </w:r>
      <w:r w:rsidR="009131D6">
        <w:rPr>
          <w:rFonts w:cs="Arial"/>
          <w:lang w:eastAsia="en-US"/>
        </w:rPr>
        <w:t>,</w:t>
      </w:r>
      <w:r w:rsidR="0009466E">
        <w:rPr>
          <w:rFonts w:cs="Arial"/>
          <w:lang w:eastAsia="en-US"/>
        </w:rPr>
        <w:t xml:space="preserve"> </w:t>
      </w:r>
      <w:r w:rsidRPr="005E3D43">
        <w:rPr>
          <w:rFonts w:cs="Arial"/>
          <w:lang w:eastAsia="en-US"/>
        </w:rPr>
        <w:t>contributing to the large rise in the number of feminised fish and other endocrine disruptive effects. Moreover, they may be a factor in biodiversity loss</w:t>
      </w:r>
      <w:r w:rsidRPr="006D16D6">
        <w:rPr>
          <w:rFonts w:cs="Arial"/>
          <w:lang w:eastAsia="en-US"/>
        </w:rPr>
        <w:t xml:space="preserve">. Therefore, appropriate measurement methods are necessary which allow estrogen levels below the environmental quality standard (EQS) to be monitored and to show if a water body is at risk. </w:t>
      </w:r>
    </w:p>
    <w:p w14:paraId="5ACF7C1A" w14:textId="77777777" w:rsidR="00130F78" w:rsidRDefault="00130F78" w:rsidP="00130F78">
      <w:pPr>
        <w:pStyle w:val="EMPIRbodytext"/>
        <w:spacing w:before="0"/>
        <w:rPr>
          <w:rFonts w:cs="Arial"/>
          <w:lang w:eastAsia="en-US"/>
        </w:rPr>
      </w:pPr>
    </w:p>
    <w:p w14:paraId="6067F20C" w14:textId="2E284AEF" w:rsidR="006D16D6" w:rsidRDefault="006D16D6" w:rsidP="00130F78">
      <w:pPr>
        <w:pStyle w:val="EMPIRbodytext"/>
        <w:spacing w:before="0"/>
        <w:rPr>
          <w:rFonts w:cs="Arial"/>
          <w:lang w:eastAsia="en-US"/>
        </w:rPr>
      </w:pPr>
      <w:r w:rsidRPr="005E3D43">
        <w:rPr>
          <w:rFonts w:cs="Arial"/>
          <w:lang w:eastAsia="en-US"/>
        </w:rPr>
        <w:t xml:space="preserve">The objectives of this project were derived from the need expressed by different communities. </w:t>
      </w:r>
    </w:p>
    <w:p w14:paraId="0EBD9C57" w14:textId="77777777" w:rsidR="006D16D6" w:rsidRPr="005E3D43" w:rsidRDefault="006D16D6" w:rsidP="00130F78">
      <w:pPr>
        <w:pStyle w:val="EMPIRbodytext"/>
        <w:spacing w:before="0"/>
        <w:rPr>
          <w:rFonts w:cs="Arial"/>
          <w:lang w:eastAsia="en-US"/>
        </w:rPr>
      </w:pPr>
      <w:r w:rsidRPr="005E3D43">
        <w:rPr>
          <w:rFonts w:cs="Arial"/>
          <w:lang w:eastAsia="en-US"/>
        </w:rPr>
        <w:t xml:space="preserve">CEN/ TC 230 “Water analysis” has agreed that there is a lack of standardised analytical methods to monitor </w:t>
      </w:r>
      <w:r w:rsidRPr="006D16D6">
        <w:rPr>
          <w:rFonts w:cs="Arial"/>
          <w:lang w:eastAsia="en-US"/>
        </w:rPr>
        <w:t>three relevant estrogenic substances (</w:t>
      </w:r>
      <w:r w:rsidRPr="005E3D43">
        <w:rPr>
          <w:rFonts w:cs="Arial"/>
          <w:lang w:eastAsia="en-US"/>
        </w:rPr>
        <w:t>17-beta-estradiol, 17-alpha-ethinylestradiol and estrone</w:t>
      </w:r>
      <w:r w:rsidRPr="006D16D6">
        <w:rPr>
          <w:rFonts w:cs="Arial"/>
          <w:lang w:eastAsia="en-US"/>
        </w:rPr>
        <w:t xml:space="preserve">) </w:t>
      </w:r>
      <w:r w:rsidRPr="005E3D43">
        <w:rPr>
          <w:rFonts w:cs="Arial"/>
          <w:lang w:eastAsia="en-US"/>
        </w:rPr>
        <w:t xml:space="preserve">in conditions that meet the requirements of the WFD and its derivatives. There are currently no methods available to guarantee the integrity of samples between sampling and analysis, nor quality control tools to ensure reliability. In addition, there are no CEN or ISO standards currently available to address the measurement of EDCs by conventional chemical analysis, and reference materials for validating in-house methods and establishing quality assurance and control measures are not available. Some promising effect-based methods for EDC are under development at ISO but they just complement the classical approach of quantitative methods. </w:t>
      </w:r>
    </w:p>
    <w:p w14:paraId="1B237140" w14:textId="77777777" w:rsidR="006D16D6" w:rsidRPr="005E3D43" w:rsidRDefault="006D16D6" w:rsidP="006D16D6">
      <w:pPr>
        <w:pStyle w:val="EMPIRbodytext"/>
        <w:rPr>
          <w:rFonts w:cs="Arial"/>
          <w:lang w:eastAsia="en-US"/>
        </w:rPr>
      </w:pPr>
      <w:r w:rsidRPr="005E3D43">
        <w:rPr>
          <w:rFonts w:cs="Arial"/>
          <w:lang w:eastAsia="en-US"/>
        </w:rPr>
        <w:t xml:space="preserve">ASLAE, an association representing 50 testing laboratories in the field of water analysis, has highlighted that many of its members face difficulties in developing and validating estrogen measurement capabilities and have failed to achieve the very low limits of quantification that are required by WFD. </w:t>
      </w:r>
    </w:p>
    <w:p w14:paraId="39BC6E34" w14:textId="77777777" w:rsidR="006D16D6" w:rsidRPr="005E3D43" w:rsidRDefault="006D16D6" w:rsidP="006D16D6">
      <w:pPr>
        <w:pStyle w:val="EMPIRbodytext"/>
        <w:rPr>
          <w:rFonts w:cs="Arial"/>
          <w:lang w:eastAsia="en-US"/>
        </w:rPr>
      </w:pPr>
      <w:r w:rsidRPr="005E3D43">
        <w:rPr>
          <w:rFonts w:cs="Arial"/>
          <w:lang w:eastAsia="en-US"/>
        </w:rPr>
        <w:t xml:space="preserve">For a substance to be added to a regulatory monitoring list, the French Ministry of the environment requires a reliable reference method to be available. </w:t>
      </w:r>
    </w:p>
    <w:p w14:paraId="78D3C5C9" w14:textId="77777777" w:rsidR="00C959D4" w:rsidRPr="008176E6" w:rsidRDefault="00C959D4" w:rsidP="00440069">
      <w:pPr>
        <w:pStyle w:val="Header"/>
        <w:tabs>
          <w:tab w:val="clear" w:pos="4536"/>
          <w:tab w:val="clear" w:pos="9072"/>
        </w:tabs>
        <w:rPr>
          <w:rFonts w:ascii="Arial" w:hAnsi="Arial"/>
          <w:b/>
          <w:lang w:val="en-GB"/>
        </w:rPr>
      </w:pPr>
    </w:p>
    <w:p w14:paraId="09673CB1" w14:textId="77777777" w:rsidR="00440069" w:rsidRPr="008176E6" w:rsidRDefault="00440069" w:rsidP="00440069">
      <w:pPr>
        <w:pStyle w:val="Header"/>
        <w:tabs>
          <w:tab w:val="clear" w:pos="4536"/>
          <w:tab w:val="clear" w:pos="9072"/>
        </w:tabs>
        <w:rPr>
          <w:rFonts w:ascii="Arial" w:hAnsi="Arial"/>
          <w:b/>
          <w:lang w:val="en-GB"/>
        </w:rPr>
      </w:pPr>
      <w:r w:rsidRPr="008176E6">
        <w:rPr>
          <w:rFonts w:ascii="Arial" w:hAnsi="Arial"/>
          <w:b/>
          <w:lang w:val="en-GB"/>
        </w:rPr>
        <w:t>Objectives</w:t>
      </w:r>
    </w:p>
    <w:p w14:paraId="7147D606" w14:textId="77777777" w:rsidR="006D16D6" w:rsidRPr="005E3D43" w:rsidRDefault="006D16D6" w:rsidP="006D16D6">
      <w:pPr>
        <w:pStyle w:val="EMPIRbodytext"/>
        <w:rPr>
          <w:rFonts w:cs="Arial"/>
        </w:rPr>
      </w:pPr>
      <w:bookmarkStart w:id="0" w:name="_Hlk8130100"/>
      <w:r w:rsidRPr="005E3D43">
        <w:rPr>
          <w:rFonts w:cs="Arial"/>
        </w:rPr>
        <w:t>The overall objective of this project is to develop traceable measurement methods for endocrine disrupting chemicals, with a specific focus on three estrogens of the first watch list (17-beta-estradiol (17βE2), 17</w:t>
      </w:r>
      <w:r w:rsidRPr="005E3D43">
        <w:rPr>
          <w:rFonts w:cs="Arial"/>
        </w:rPr>
        <w:noBreakHyphen/>
        <w:t>alpha</w:t>
      </w:r>
      <w:r w:rsidRPr="005E3D43">
        <w:rPr>
          <w:rFonts w:cs="Arial"/>
        </w:rPr>
        <w:noBreakHyphen/>
        <w:t>ethinylestradiol (17</w:t>
      </w:r>
      <w:r w:rsidRPr="005E3D43">
        <w:rPr>
          <w:rFonts w:cs="Arial"/>
        </w:rPr>
        <w:sym w:font="Symbol" w:char="F061"/>
      </w:r>
      <w:r w:rsidRPr="005E3D43">
        <w:rPr>
          <w:rFonts w:cs="Arial"/>
        </w:rPr>
        <w:t>EE2), and estrone (E1)). Estrogens 17-alpha-estradiol (17</w:t>
      </w:r>
      <w:r w:rsidRPr="005E3D43">
        <w:rPr>
          <w:rFonts w:cs="Arial"/>
        </w:rPr>
        <w:sym w:font="Symbol" w:char="F061"/>
      </w:r>
      <w:r w:rsidRPr="005E3D43">
        <w:rPr>
          <w:rFonts w:cs="Arial"/>
        </w:rPr>
        <w:t xml:space="preserve">E2) and estriol (E3) will be included to demonstrate the reliability of the developed methods and to support the requirements of Directive 2013/39/EC, Directive 2009/90/EC and Commission Implementation Decision (EU) 2018/840, hence improving the comparability and compatibility of measurement results within Europe. </w:t>
      </w:r>
    </w:p>
    <w:p w14:paraId="6BEA886E" w14:textId="77777777" w:rsidR="006D16D6" w:rsidRPr="005E3D43" w:rsidRDefault="006D16D6" w:rsidP="006D16D6">
      <w:pPr>
        <w:pStyle w:val="EMPIRbodytext"/>
        <w:rPr>
          <w:rFonts w:cs="Arial"/>
        </w:rPr>
      </w:pPr>
      <w:r w:rsidRPr="005E3D43">
        <w:rPr>
          <w:rFonts w:cs="Arial"/>
        </w:rPr>
        <w:t>The specific objectives of the project are to:</w:t>
      </w:r>
    </w:p>
    <w:p w14:paraId="1F80E5AA" w14:textId="06E45C59" w:rsidR="006D16D6" w:rsidRPr="005E3D43" w:rsidRDefault="006D16D6" w:rsidP="006D16D6">
      <w:pPr>
        <w:pStyle w:val="EMPIRnumberedlistlevel1"/>
        <w:numPr>
          <w:ilvl w:val="0"/>
          <w:numId w:val="14"/>
        </w:numPr>
        <w:tabs>
          <w:tab w:val="clear" w:pos="705"/>
          <w:tab w:val="num" w:pos="0"/>
        </w:tabs>
        <w:ind w:left="851" w:hanging="425"/>
        <w:rPr>
          <w:rFonts w:cs="Arial"/>
        </w:rPr>
      </w:pPr>
      <w:r w:rsidRPr="005E3D43">
        <w:rPr>
          <w:rFonts w:cs="Arial"/>
        </w:rPr>
        <w:t xml:space="preserve">Optimise and validate traceable aqueous reference </w:t>
      </w:r>
      <w:r w:rsidR="00D011BC">
        <w:rPr>
          <w:rFonts w:cs="Arial"/>
        </w:rPr>
        <w:t>m</w:t>
      </w:r>
      <w:r w:rsidR="00D011BC" w:rsidRPr="005E3D43">
        <w:rPr>
          <w:rFonts w:cs="Arial"/>
        </w:rPr>
        <w:t xml:space="preserve">ass </w:t>
      </w:r>
      <w:r w:rsidR="00D011BC">
        <w:rPr>
          <w:rFonts w:cs="Arial"/>
        </w:rPr>
        <w:t>s</w:t>
      </w:r>
      <w:r w:rsidR="00D011BC" w:rsidRPr="005E3D43">
        <w:rPr>
          <w:rFonts w:cs="Arial"/>
        </w:rPr>
        <w:t>pectrometry</w:t>
      </w:r>
      <w:r w:rsidR="00D011BC">
        <w:rPr>
          <w:rFonts w:cs="Arial"/>
        </w:rPr>
        <w:t xml:space="preserve"> </w:t>
      </w:r>
      <w:r w:rsidRPr="005E3D43">
        <w:rPr>
          <w:rFonts w:cs="Arial"/>
        </w:rPr>
        <w:t>based methods for the analysis of 5 estrogenic compounds prioritising 3 selected estrogenic compounds 17-beta-</w:t>
      </w:r>
      <w:r w:rsidRPr="005E3D43">
        <w:rPr>
          <w:rFonts w:cs="Arial"/>
        </w:rPr>
        <w:lastRenderedPageBreak/>
        <w:t xml:space="preserve">estradiol, 17-alpha-ethinylestradiol, and estrone in whole water samples at environmental quality standard (EQS) levels. Methods will have limit of quantification (LOQ) not exceeding 30 % EQS with a measurement uncertainty of ≤50 % at EQS. </w:t>
      </w:r>
    </w:p>
    <w:p w14:paraId="2EF76E6B" w14:textId="77777777" w:rsidR="006D16D6" w:rsidRPr="005E3D43" w:rsidRDefault="006D16D6" w:rsidP="006D16D6">
      <w:pPr>
        <w:pStyle w:val="EMPIRnumberedlistlevel1"/>
        <w:numPr>
          <w:ilvl w:val="0"/>
          <w:numId w:val="14"/>
        </w:numPr>
        <w:tabs>
          <w:tab w:val="clear" w:pos="705"/>
          <w:tab w:val="num" w:pos="0"/>
        </w:tabs>
        <w:ind w:left="851" w:hanging="425"/>
        <w:rPr>
          <w:rFonts w:cs="Arial"/>
        </w:rPr>
      </w:pPr>
      <w:r w:rsidRPr="005E3D43">
        <w:rPr>
          <w:rFonts w:cs="Arial"/>
        </w:rPr>
        <w:t xml:space="preserve">Evaluate the interaction and partitioning of 5 estrogenic compounds prioritising 3 selected estrogenic compounds 17-beta-estradiol, 17-alpha-ethinylestradiol, and estrone between water samples and suspended particulate matter (SPM) and the capability of developed methods to address the different fractions of matrix (whole water and dissolved concentrations of estrogens). </w:t>
      </w:r>
    </w:p>
    <w:p w14:paraId="6553D988" w14:textId="77777777" w:rsidR="006D16D6" w:rsidRPr="005E3D43" w:rsidRDefault="006D16D6" w:rsidP="006D16D6">
      <w:pPr>
        <w:pStyle w:val="EMPIRnumberedlistlevel1"/>
        <w:numPr>
          <w:ilvl w:val="0"/>
          <w:numId w:val="14"/>
        </w:numPr>
        <w:tabs>
          <w:tab w:val="clear" w:pos="705"/>
          <w:tab w:val="num" w:pos="0"/>
        </w:tabs>
        <w:ind w:left="851" w:hanging="425"/>
        <w:rPr>
          <w:rFonts w:cs="Arial"/>
        </w:rPr>
      </w:pPr>
      <w:r w:rsidRPr="005E3D43">
        <w:rPr>
          <w:rFonts w:cs="Arial"/>
        </w:rPr>
        <w:t xml:space="preserve">Develop production methods for aqueous reference materials (RM), which are as close as possible to real water samples, with proven homogeneity, short- and long-term stability. </w:t>
      </w:r>
    </w:p>
    <w:p w14:paraId="5CCD2E5D" w14:textId="77777777" w:rsidR="006D16D6" w:rsidRPr="005E3D43" w:rsidRDefault="006D16D6" w:rsidP="006D16D6">
      <w:pPr>
        <w:pStyle w:val="EMPIRbodytext"/>
        <w:numPr>
          <w:ilvl w:val="0"/>
          <w:numId w:val="14"/>
        </w:numPr>
        <w:tabs>
          <w:tab w:val="clear" w:pos="705"/>
          <w:tab w:val="num" w:pos="0"/>
          <w:tab w:val="left" w:pos="567"/>
          <w:tab w:val="left" w:pos="851"/>
        </w:tabs>
        <w:ind w:left="851" w:hanging="425"/>
        <w:rPr>
          <w:rFonts w:cs="Arial"/>
        </w:rPr>
      </w:pPr>
      <w:r w:rsidRPr="005E3D43">
        <w:rPr>
          <w:rFonts w:cs="Arial"/>
        </w:rPr>
        <w:t xml:space="preserve">Improve the comparability of estrogen measurements with selected Effect-Based Methods (EBM) in whole water samples at EQS level. Methods will have been correctly calibrated and information on uncertainty will be provided. </w:t>
      </w:r>
    </w:p>
    <w:p w14:paraId="46789E92" w14:textId="77777777" w:rsidR="006D16D6" w:rsidRPr="005E3D43" w:rsidRDefault="006D16D6" w:rsidP="006D16D6">
      <w:pPr>
        <w:pStyle w:val="EMPIRbodytext"/>
        <w:numPr>
          <w:ilvl w:val="0"/>
          <w:numId w:val="14"/>
        </w:numPr>
        <w:tabs>
          <w:tab w:val="clear" w:pos="705"/>
          <w:tab w:val="num" w:pos="0"/>
          <w:tab w:val="left" w:pos="851"/>
        </w:tabs>
        <w:ind w:left="851" w:hanging="425"/>
        <w:rPr>
          <w:rFonts w:cs="Arial"/>
        </w:rPr>
      </w:pPr>
      <w:r w:rsidRPr="005E3D43">
        <w:rPr>
          <w:rFonts w:cs="Arial"/>
        </w:rPr>
        <w:t>Organise and perform an interlaboratory comparison (ILC) to demonstrate the performance of the developed methods using the reference material (RM) for the selected estrogen substances.</w:t>
      </w:r>
    </w:p>
    <w:p w14:paraId="1C681963" w14:textId="13DC9E34" w:rsidR="006D16D6" w:rsidRPr="005E3D43" w:rsidRDefault="006D16D6" w:rsidP="006D16D6">
      <w:pPr>
        <w:pStyle w:val="EMPIRbodytext"/>
        <w:numPr>
          <w:ilvl w:val="0"/>
          <w:numId w:val="14"/>
        </w:numPr>
        <w:tabs>
          <w:tab w:val="clear" w:pos="705"/>
          <w:tab w:val="num" w:pos="0"/>
          <w:tab w:val="left" w:pos="851"/>
        </w:tabs>
        <w:ind w:left="851" w:hanging="425"/>
        <w:rPr>
          <w:rFonts w:cs="Arial"/>
        </w:rPr>
      </w:pPr>
      <w:r w:rsidRPr="005E3D43">
        <w:rPr>
          <w:rFonts w:cs="Arial"/>
        </w:rPr>
        <w:t>Contribute to the work of key European and international standardisation organisations e.g. CEN TC 230 and ISO TC 147 ensuring that the outputs of the project are aligned with needs, communicated quickly to those developing the standards and to those who will use them to support the implementation of directives, and in a form that can be incorporated into the standards at the earliest opportunity.</w:t>
      </w:r>
    </w:p>
    <w:bookmarkEnd w:id="0"/>
    <w:p w14:paraId="6F57ABB9" w14:textId="1BB35F9C" w:rsidR="00C959D4" w:rsidRDefault="00C959D4" w:rsidP="00F33779">
      <w:pPr>
        <w:pStyle w:val="Header"/>
        <w:tabs>
          <w:tab w:val="clear" w:pos="4536"/>
          <w:tab w:val="clear" w:pos="9072"/>
        </w:tabs>
        <w:rPr>
          <w:rFonts w:ascii="Arial" w:hAnsi="Arial"/>
          <w:b/>
          <w:lang w:val="en-GB"/>
        </w:rPr>
      </w:pPr>
    </w:p>
    <w:p w14:paraId="7867B2B2" w14:textId="3E8C6946" w:rsidR="008358B5" w:rsidRDefault="008358B5" w:rsidP="00F33779">
      <w:pPr>
        <w:pStyle w:val="Header"/>
        <w:tabs>
          <w:tab w:val="clear" w:pos="4536"/>
          <w:tab w:val="clear" w:pos="9072"/>
        </w:tabs>
        <w:rPr>
          <w:rFonts w:ascii="Arial" w:hAnsi="Arial"/>
          <w:b/>
          <w:lang w:val="en-GB"/>
        </w:rPr>
      </w:pPr>
      <w:r>
        <w:rPr>
          <w:rFonts w:ascii="Arial" w:hAnsi="Arial"/>
          <w:b/>
          <w:lang w:val="en-GB"/>
        </w:rPr>
        <w:t>Progress beyond the state of the art and results</w:t>
      </w:r>
    </w:p>
    <w:p w14:paraId="2527F9C0" w14:textId="375668DE" w:rsidR="006D16D6" w:rsidRPr="005E3D43" w:rsidRDefault="006D16D6" w:rsidP="006D16D6">
      <w:pPr>
        <w:pStyle w:val="EMPIRbodytext"/>
        <w:rPr>
          <w:rFonts w:cs="Arial"/>
          <w:b/>
          <w:i/>
          <w:lang w:eastAsia="en-US"/>
        </w:rPr>
      </w:pPr>
      <w:r w:rsidRPr="005E3D43">
        <w:rPr>
          <w:rFonts w:cs="Arial"/>
          <w:lang w:eastAsia="en-US"/>
        </w:rPr>
        <w:t xml:space="preserve">As a result of the lack of validated </w:t>
      </w:r>
      <w:r w:rsidRPr="005E3D43">
        <w:rPr>
          <w:rFonts w:cs="Arial"/>
        </w:rPr>
        <w:t xml:space="preserve">measurement methods for estrogens (in terms of limit of quantification (LOQ), accuracy, and uncertainty), the comparability and reliability of measurement results has been proven to be inadequate. </w:t>
      </w:r>
      <w:r w:rsidRPr="005E3D43">
        <w:rPr>
          <w:rFonts w:cs="Arial"/>
          <w:lang w:eastAsia="en-US"/>
        </w:rPr>
        <w:t>The partitioning (distribution) of estrogens between suspended particulate matter (SPM) and dissolved phase of water is not fully understood and the resulting problems in analysis are widely ignored. This knowledge is critical for the comparability of measurements between laboratories and for the evaluation of the chemical status that will be based on whole water measurements. A search in the international reference material database COMAR revealed that no representative RM exists for estrogens. This can be explained by the estrogens’ lack of stability in real matrix and missing fit for purpose measurement methods.</w:t>
      </w:r>
      <w:r w:rsidRPr="005E3D43">
        <w:rPr>
          <w:rFonts w:cs="Arial"/>
        </w:rPr>
        <w:t xml:space="preserve"> EBM used for identifying estrogen receptor (ER) mediated risk can overcome the LOQ problems encountered with other analytical techniques</w:t>
      </w:r>
      <w:r w:rsidR="00D011BC">
        <w:rPr>
          <w:rFonts w:cs="Arial"/>
        </w:rPr>
        <w:t>,</w:t>
      </w:r>
      <w:r w:rsidRPr="005E3D43">
        <w:rPr>
          <w:rFonts w:cs="Arial"/>
        </w:rPr>
        <w:t xml:space="preserve"> </w:t>
      </w:r>
      <w:r w:rsidR="00D011BC">
        <w:rPr>
          <w:rFonts w:cs="Arial"/>
        </w:rPr>
        <w:t xml:space="preserve">e.g. </w:t>
      </w:r>
      <w:r w:rsidRPr="005E3D43">
        <w:rPr>
          <w:rFonts w:cs="Arial"/>
        </w:rPr>
        <w:t>MS-based methods such as LC-MS-MS and GC-MS-MS. These are suitable screening tools for the identification and prioritisation of waterbodies requiring further examination, as well as for measuring the ecotoxicological status in relation to receptor-mediated estrogenicity. Proficiency tests for estrogens are rarely offered and there is low confidence in the quality of estrogen measurements.</w:t>
      </w:r>
      <w:r w:rsidRPr="005E3D43">
        <w:rPr>
          <w:rFonts w:cs="Arial"/>
          <w:b/>
          <w:i/>
          <w:lang w:eastAsia="en-US"/>
        </w:rPr>
        <w:t xml:space="preserve"> </w:t>
      </w:r>
    </w:p>
    <w:p w14:paraId="09A4FC17" w14:textId="77777777" w:rsidR="006D16D6" w:rsidRPr="005E3D43" w:rsidRDefault="006D16D6" w:rsidP="006D16D6">
      <w:pPr>
        <w:pStyle w:val="EMPIRbodytext"/>
        <w:rPr>
          <w:rFonts w:cs="Arial"/>
          <w:i/>
          <w:lang w:eastAsia="en-US"/>
        </w:rPr>
      </w:pPr>
      <w:r w:rsidRPr="005E3D43">
        <w:rPr>
          <w:rFonts w:cs="Arial"/>
          <w:i/>
          <w:lang w:eastAsia="en-US"/>
        </w:rPr>
        <w:t xml:space="preserve">Fully validated MS-based reference methods for the detection of estrogen (objective 1): </w:t>
      </w:r>
    </w:p>
    <w:p w14:paraId="1967C0D2" w14:textId="77777777" w:rsidR="006D16D6" w:rsidRPr="005E3D43" w:rsidRDefault="006D16D6" w:rsidP="006D16D6">
      <w:pPr>
        <w:pStyle w:val="EMPIRbodytext"/>
        <w:rPr>
          <w:rFonts w:cs="Arial"/>
        </w:rPr>
      </w:pPr>
      <w:r w:rsidRPr="005E3D43">
        <w:rPr>
          <w:rFonts w:cs="Arial"/>
          <w:lang w:eastAsia="en-US"/>
        </w:rPr>
        <w:t xml:space="preserve">This project will </w:t>
      </w:r>
      <w:r w:rsidRPr="005E3D43">
        <w:rPr>
          <w:rFonts w:cs="Arial"/>
        </w:rPr>
        <w:t>optimise and validate MS-based reference methods for the analysis of the 5 estrogenic compounds, prioritising 3 selected ones. This will include complementary sample preparation techniques, stabilisation of samples, extraction, purification and re-concentration to enable reliable measurements of estrogens. To maximise the impact of the project, the performance of the methods for 17-beta-estradiol, 17</w:t>
      </w:r>
      <w:r w:rsidRPr="005E3D43">
        <w:rPr>
          <w:rFonts w:cs="Arial"/>
        </w:rPr>
        <w:noBreakHyphen/>
        <w:t>alpha-ethinylestradiol, and estrone will be aligned to the requirements of Directive 2009/90/EC in such a way that the methods will have a LOQ not exceeding 30 % EQS, with a measurement uncertainty ≤ 50 % at EQS.</w:t>
      </w:r>
    </w:p>
    <w:p w14:paraId="3C5CF030" w14:textId="77777777" w:rsidR="006D16D6" w:rsidRPr="005E3D43" w:rsidRDefault="006D16D6" w:rsidP="006D16D6">
      <w:pPr>
        <w:pStyle w:val="EMPIRbodytext"/>
        <w:rPr>
          <w:rFonts w:cs="Arial"/>
          <w:i/>
          <w:lang w:eastAsia="en-US"/>
        </w:rPr>
      </w:pPr>
      <w:r w:rsidRPr="005E3D43">
        <w:rPr>
          <w:rFonts w:cs="Arial"/>
          <w:i/>
          <w:lang w:eastAsia="en-US"/>
        </w:rPr>
        <w:t xml:space="preserve">Comprehensive study of estrogens partitioning in water (objective 2): </w:t>
      </w:r>
    </w:p>
    <w:p w14:paraId="5477283E" w14:textId="77777777" w:rsidR="006D16D6" w:rsidRPr="005E3D43" w:rsidRDefault="006D16D6" w:rsidP="006D16D6">
      <w:pPr>
        <w:pStyle w:val="EMPIRbodytext"/>
        <w:rPr>
          <w:rFonts w:cs="Arial"/>
          <w:b/>
          <w:i/>
          <w:lang w:eastAsia="en-US"/>
        </w:rPr>
      </w:pPr>
      <w:r w:rsidRPr="005E3D43">
        <w:rPr>
          <w:rFonts w:cs="Arial"/>
          <w:lang w:eastAsia="en-US"/>
        </w:rPr>
        <w:t>This project will address this issue through analysis and systematic comparison of the results of filtered and unfiltered water samples, with varying complexity (Dissolved organic carbon (DOC), SPM, etc.). As a result, this project will provide knowledge on the effect of filtration, and comparability of results obtained from filtered and unfiltered samples.</w:t>
      </w:r>
    </w:p>
    <w:p w14:paraId="7A4FC54F" w14:textId="77777777" w:rsidR="006D16D6" w:rsidRPr="005E3D43" w:rsidRDefault="006D16D6" w:rsidP="006D16D6">
      <w:pPr>
        <w:pStyle w:val="EMPIRbodytext"/>
        <w:rPr>
          <w:rFonts w:cs="Arial"/>
          <w:i/>
          <w:lang w:eastAsia="en-US"/>
        </w:rPr>
      </w:pPr>
      <w:r w:rsidRPr="005E3D43">
        <w:rPr>
          <w:rFonts w:cs="Arial"/>
          <w:i/>
          <w:lang w:eastAsia="en-US"/>
        </w:rPr>
        <w:t>Reference material preparation and characterisation (objective 3):</w:t>
      </w:r>
    </w:p>
    <w:p w14:paraId="61517264" w14:textId="77777777" w:rsidR="006D16D6" w:rsidRPr="005E3D43" w:rsidRDefault="006D16D6" w:rsidP="006D16D6">
      <w:pPr>
        <w:pStyle w:val="EMPIRbodytext"/>
        <w:rPr>
          <w:rFonts w:cs="Arial"/>
        </w:rPr>
      </w:pPr>
      <w:r w:rsidRPr="005E3D43">
        <w:rPr>
          <w:rFonts w:cs="Arial"/>
          <w:lang w:eastAsia="en-US"/>
        </w:rPr>
        <w:t xml:space="preserve">This project will </w:t>
      </w:r>
      <w:r w:rsidRPr="005E3D43">
        <w:rPr>
          <w:rFonts w:cs="Arial"/>
        </w:rPr>
        <w:t xml:space="preserve">produce a representative synthetic (real) matrix RM. At least 1 selected MS-based method will be used to characterise the RM candidates with respect to level of concentration (realistic from </w:t>
      </w:r>
      <w:r w:rsidRPr="005E3D43">
        <w:rPr>
          <w:rFonts w:cs="Arial"/>
        </w:rPr>
        <w:lastRenderedPageBreak/>
        <w:t>environmental conditions), partitioning of substances between SPM, dissolved phase, homogeneity and stability. The compatibility of the developed materials with effect-based methods (EBM) will also be verified.</w:t>
      </w:r>
    </w:p>
    <w:p w14:paraId="0C9E4890" w14:textId="77777777" w:rsidR="006D16D6" w:rsidRPr="005E3D43" w:rsidRDefault="006D16D6" w:rsidP="006D16D6">
      <w:pPr>
        <w:pStyle w:val="EMPIRbodytext"/>
        <w:rPr>
          <w:rFonts w:cs="Arial"/>
        </w:rPr>
      </w:pPr>
      <w:r w:rsidRPr="005E3D43">
        <w:rPr>
          <w:rFonts w:cs="Arial"/>
          <w:i/>
          <w:lang w:eastAsia="en-US"/>
        </w:rPr>
        <w:t>Well characterised bioassays methods (objective 4)</w:t>
      </w:r>
      <w:r w:rsidRPr="005E3D43">
        <w:rPr>
          <w:rFonts w:cs="Arial"/>
        </w:rPr>
        <w:t>:</w:t>
      </w:r>
    </w:p>
    <w:p w14:paraId="2F5274CF" w14:textId="77777777" w:rsidR="006D16D6" w:rsidRPr="005E3D43" w:rsidRDefault="006D16D6" w:rsidP="006D16D6">
      <w:pPr>
        <w:pStyle w:val="EMPIRbodytext"/>
        <w:rPr>
          <w:rFonts w:cs="Arial"/>
        </w:rPr>
      </w:pPr>
      <w:r w:rsidRPr="005E3D43">
        <w:rPr>
          <w:rFonts w:cs="Arial"/>
          <w:lang w:eastAsia="en-US"/>
        </w:rPr>
        <w:t xml:space="preserve">This project will </w:t>
      </w:r>
      <w:r w:rsidRPr="005E3D43">
        <w:rPr>
          <w:rFonts w:cs="Arial"/>
        </w:rPr>
        <w:t xml:space="preserve">build on work developed under </w:t>
      </w:r>
      <w:r w:rsidRPr="005E3D43">
        <w:t>DG ENV WG Chemicals,</w:t>
      </w:r>
      <w:r w:rsidRPr="005E3D43">
        <w:rPr>
          <w:rFonts w:cs="Arial"/>
        </w:rPr>
        <w:t xml:space="preserve"> and address issues associated with the measurement of estrogens, focusing on metrological aspects and establishing traceability of measurements through appropriate calibration and estimation of uncertainty. </w:t>
      </w:r>
    </w:p>
    <w:p w14:paraId="09580165" w14:textId="77777777" w:rsidR="006D16D6" w:rsidRPr="005E3D43" w:rsidRDefault="006D16D6" w:rsidP="006D16D6">
      <w:pPr>
        <w:pStyle w:val="EMPIRbodytext"/>
        <w:rPr>
          <w:rFonts w:cs="Arial"/>
          <w:i/>
          <w:lang w:eastAsia="en-US"/>
        </w:rPr>
      </w:pPr>
      <w:r w:rsidRPr="005E3D43">
        <w:rPr>
          <w:rFonts w:cs="Arial"/>
          <w:i/>
          <w:lang w:eastAsia="en-US"/>
        </w:rPr>
        <w:t>Standardisation and intercomparison as knowledge transfer to end-users (objective 5):</w:t>
      </w:r>
    </w:p>
    <w:p w14:paraId="103A2B27" w14:textId="77777777" w:rsidR="006D16D6" w:rsidRPr="005E3D43" w:rsidRDefault="006D16D6" w:rsidP="006D16D6">
      <w:pPr>
        <w:pStyle w:val="EMPIRbodytext"/>
        <w:rPr>
          <w:rFonts w:cs="Arial"/>
        </w:rPr>
      </w:pPr>
      <w:r w:rsidRPr="005E3D43">
        <w:rPr>
          <w:rFonts w:cs="Arial"/>
        </w:rPr>
        <w:t xml:space="preserve">This project will establish strong links with CEN/ TC 230, ISO/ TC 147 and national standardisation bodies and provide them documents and reports with the outcomes of this project. The interlaboratory comparison organised by this project will reach end-users, in particular testing (accredited) laboratories, which will facilitate the quick uptake of the developed methods and knowledge by testing laboratories and regulatory bodies. </w:t>
      </w:r>
    </w:p>
    <w:p w14:paraId="3DD10D22" w14:textId="77777777" w:rsidR="00C959D4" w:rsidRPr="003F7499" w:rsidRDefault="00C959D4" w:rsidP="00777FC7">
      <w:pPr>
        <w:pStyle w:val="Header"/>
        <w:widowControl w:val="0"/>
        <w:tabs>
          <w:tab w:val="clear" w:pos="4536"/>
          <w:tab w:val="clear" w:pos="9072"/>
        </w:tabs>
        <w:spacing w:after="60"/>
        <w:jc w:val="both"/>
        <w:rPr>
          <w:rFonts w:ascii="Arial" w:hAnsi="Arial"/>
          <w:lang w:val="en-GB"/>
        </w:rPr>
      </w:pPr>
    </w:p>
    <w:p w14:paraId="09673CBE" w14:textId="77777777" w:rsidR="004F4E51" w:rsidRPr="008176E6" w:rsidRDefault="00D3743D">
      <w:pPr>
        <w:pStyle w:val="Header"/>
        <w:tabs>
          <w:tab w:val="clear" w:pos="4536"/>
          <w:tab w:val="clear" w:pos="9072"/>
        </w:tabs>
        <w:rPr>
          <w:rFonts w:ascii="Arial" w:hAnsi="Arial"/>
          <w:b/>
          <w:lang w:val="en-GB"/>
        </w:rPr>
      </w:pPr>
      <w:r w:rsidRPr="008176E6">
        <w:rPr>
          <w:rFonts w:ascii="Arial" w:hAnsi="Arial"/>
          <w:b/>
          <w:lang w:val="en-GB"/>
        </w:rPr>
        <w:t>Impact</w:t>
      </w:r>
    </w:p>
    <w:p w14:paraId="3AE96862" w14:textId="77777777" w:rsidR="006D16D6" w:rsidRPr="005E3D43" w:rsidRDefault="006D16D6" w:rsidP="006D16D6">
      <w:pPr>
        <w:pStyle w:val="EMPIRbodytext"/>
        <w:rPr>
          <w:rFonts w:cs="Arial"/>
          <w:lang w:eastAsia="en-US"/>
        </w:rPr>
      </w:pPr>
      <w:r w:rsidRPr="005E3D43">
        <w:rPr>
          <w:rFonts w:cs="Arial"/>
          <w:lang w:eastAsia="en-US"/>
        </w:rPr>
        <w:t>This project will expand the knowledge in metrology for monitoring of endocrine disrupting compounds and provide up-to-date and reliable data and methods to be included in the development or revision of documentary standards. Upon adoption of those standards, the impact will be tangible on regulatory bodies, analytical community and society in general. More especially, the scientific programme of work implemented in the project will address:</w:t>
      </w:r>
    </w:p>
    <w:p w14:paraId="27564767" w14:textId="77777777" w:rsidR="006D16D6" w:rsidRPr="00B24DCB" w:rsidRDefault="006D16D6" w:rsidP="006D16D6">
      <w:pPr>
        <w:pStyle w:val="EMPIRbodytext"/>
        <w:rPr>
          <w:rFonts w:cs="Arial"/>
          <w:i/>
          <w:lang w:eastAsia="en-US"/>
        </w:rPr>
      </w:pPr>
      <w:r w:rsidRPr="00B24DCB">
        <w:rPr>
          <w:rFonts w:cs="Arial"/>
          <w:i/>
          <w:lang w:eastAsia="en-US"/>
        </w:rPr>
        <w:t>Impact on industrial and other user communities</w:t>
      </w:r>
    </w:p>
    <w:p w14:paraId="33FDFF0E" w14:textId="4394B755" w:rsidR="006D16D6" w:rsidRPr="00B24DCB" w:rsidRDefault="006D16D6" w:rsidP="006D16D6">
      <w:pPr>
        <w:pStyle w:val="EMRPbodytext"/>
        <w:rPr>
          <w:rFonts w:cs="Arial"/>
        </w:rPr>
      </w:pPr>
      <w:r w:rsidRPr="00B24DCB">
        <w:rPr>
          <w:rFonts w:cs="Arial"/>
        </w:rPr>
        <w:t xml:space="preserve">This project will enable harmonised monitoring of endocrine disrupting compounds in water in response </w:t>
      </w:r>
      <w:r w:rsidR="00D011BC" w:rsidRPr="00B24DCB">
        <w:rPr>
          <w:rFonts w:cs="Arial"/>
        </w:rPr>
        <w:t xml:space="preserve">to </w:t>
      </w:r>
      <w:r w:rsidRPr="00B24DCB">
        <w:rPr>
          <w:rFonts w:cs="Arial"/>
        </w:rPr>
        <w:t>European water policies.</w:t>
      </w:r>
      <w:r w:rsidRPr="00B24DCB">
        <w:t xml:space="preserve"> </w:t>
      </w:r>
      <w:r w:rsidRPr="00B24DCB">
        <w:rPr>
          <w:rFonts w:cs="Arial"/>
        </w:rPr>
        <w:t>Regulatory acceptance of emerging technologies is a slow process, and currently hampers the use of such modern bioassays for compliance testing and regulatory purposes. The outcomes of this project will facilitate the adoption of such technologies. Testing (accredited) analytical laboratories</w:t>
      </w:r>
      <w:r w:rsidRPr="00B24DCB">
        <w:rPr>
          <w:rFonts w:cs="Arial"/>
          <w:b/>
        </w:rPr>
        <w:t xml:space="preserve"> </w:t>
      </w:r>
      <w:r w:rsidRPr="00B24DCB">
        <w:rPr>
          <w:rFonts w:cs="Arial"/>
        </w:rPr>
        <w:t xml:space="preserve">will be targeted to benefit from this project, therefore supporting the provision of services. The impact will be boosted by the implementation of an advisory group with representative of policy-makers, testing laboratories, scientific community. This project will establish specific interactions with JRC-ISPRA that </w:t>
      </w:r>
      <w:r w:rsidR="009131D6" w:rsidRPr="00B24DCB">
        <w:rPr>
          <w:rFonts w:cs="Arial"/>
        </w:rPr>
        <w:t>advice</w:t>
      </w:r>
      <w:r w:rsidRPr="00B24DCB">
        <w:rPr>
          <w:rFonts w:cs="Arial"/>
        </w:rPr>
        <w:t xml:space="preserve"> the European Commission to allow quick communication of the project’s results and outputs. </w:t>
      </w:r>
    </w:p>
    <w:p w14:paraId="322E7E40" w14:textId="77777777" w:rsidR="006D16D6" w:rsidRPr="00B24DCB" w:rsidRDefault="006D16D6" w:rsidP="006D16D6">
      <w:pPr>
        <w:pStyle w:val="EMPIRbodytext"/>
        <w:keepNext/>
        <w:keepLines/>
        <w:rPr>
          <w:rFonts w:cs="Arial"/>
          <w:i/>
          <w:lang w:eastAsia="en-US"/>
        </w:rPr>
      </w:pPr>
      <w:r w:rsidRPr="00B24DCB">
        <w:rPr>
          <w:rFonts w:cs="Arial"/>
          <w:i/>
          <w:lang w:eastAsia="en-US"/>
        </w:rPr>
        <w:t>Impact on the metrology and scientific communities</w:t>
      </w:r>
    </w:p>
    <w:p w14:paraId="3CAE1FA3" w14:textId="77777777" w:rsidR="006D16D6" w:rsidRPr="00B24DCB" w:rsidRDefault="006D16D6" w:rsidP="006D16D6">
      <w:pPr>
        <w:pStyle w:val="EMPIRbodytext"/>
        <w:rPr>
          <w:rFonts w:cs="Arial"/>
          <w:lang w:eastAsia="en-US"/>
        </w:rPr>
      </w:pPr>
      <w:r w:rsidRPr="00B24DCB">
        <w:rPr>
          <w:rFonts w:cs="Arial"/>
        </w:rPr>
        <w:t>This project will support the metrology community in handling the long-standing scientific problem of environmental monitoring and risk assessment. This project will have direct impact on different metrology committees, especially the EURAMET Technical Committee of Metrology in Chemistry (TC-MC) and the Organic Analysis Working Group (OAWG) of the Consultative Committee for Amount of Substance: Metrology in Chemistry and Biology (CCQM) of the BIPM. CCQM-OAWG is responsible for the CMC (Calibration and Measurement Capabilities) entries related to chemistry. It will contribute to the visibility of EURAMET and its leadership in chemical metrology for environment to the wider metrology and scientific communities. The results of the project will form the basis for developing calibration and measuring capabilities (CMC) entries related to estrogens and comparable substances in water.</w:t>
      </w:r>
    </w:p>
    <w:p w14:paraId="7F008781" w14:textId="77777777" w:rsidR="006D16D6" w:rsidRPr="00B24DCB" w:rsidRDefault="006D16D6" w:rsidP="006D16D6">
      <w:pPr>
        <w:pStyle w:val="EMPIRbodytext"/>
        <w:rPr>
          <w:rFonts w:cs="Arial"/>
          <w:lang w:eastAsia="en-US"/>
        </w:rPr>
      </w:pPr>
      <w:r w:rsidRPr="00B24DCB">
        <w:rPr>
          <w:rFonts w:cs="Arial"/>
          <w:lang w:eastAsia="en-US"/>
        </w:rPr>
        <w:t>The project will communicate the results and scientific knowledge gained in the project to</w:t>
      </w:r>
      <w:r w:rsidRPr="00B24DCB">
        <w:rPr>
          <w:rFonts w:cs="Arial"/>
        </w:rPr>
        <w:t xml:space="preserve"> the scientific environmental analytical community</w:t>
      </w:r>
      <w:r w:rsidRPr="00B24DCB">
        <w:rPr>
          <w:rFonts w:cs="Arial"/>
          <w:lang w:eastAsia="en-US"/>
        </w:rPr>
        <w:t xml:space="preserve"> via open access publications in peer-reviewed journals, workshops and training</w:t>
      </w:r>
      <w:r w:rsidRPr="00B24DCB">
        <w:rPr>
          <w:rFonts w:cs="Arial"/>
        </w:rPr>
        <w:t>. It will increase the awareness of a wider community on quality assurance and quality control (QA/QC) issues as well as metrology concepts that are often misunderstood or misapplied. As measurements are often instrumental for research in diverse scientific fields, the methods developed will provide scientists with guidance to make their measurements metrologically sound.</w:t>
      </w:r>
    </w:p>
    <w:p w14:paraId="525B5127" w14:textId="77777777" w:rsidR="006D16D6" w:rsidRPr="00B24DCB" w:rsidRDefault="006D16D6" w:rsidP="006D16D6">
      <w:pPr>
        <w:pStyle w:val="EMPIRbodytext"/>
        <w:rPr>
          <w:rFonts w:cs="Arial"/>
          <w:i/>
          <w:lang w:eastAsia="en-US"/>
        </w:rPr>
      </w:pPr>
      <w:r w:rsidRPr="00B24DCB">
        <w:rPr>
          <w:rFonts w:cs="Arial"/>
          <w:i/>
          <w:lang w:eastAsia="en-US"/>
        </w:rPr>
        <w:t>Impact on relevant standards</w:t>
      </w:r>
    </w:p>
    <w:p w14:paraId="14453796" w14:textId="77777777" w:rsidR="006D16D6" w:rsidRPr="00B24DCB" w:rsidRDefault="006D16D6" w:rsidP="006D16D6">
      <w:pPr>
        <w:pStyle w:val="EMPIRbodytext"/>
        <w:rPr>
          <w:rFonts w:cs="Arial"/>
          <w:lang w:eastAsia="en-US"/>
        </w:rPr>
      </w:pPr>
      <w:r w:rsidRPr="00B24DCB">
        <w:rPr>
          <w:rFonts w:cs="Arial"/>
          <w:lang w:eastAsia="en-US"/>
        </w:rPr>
        <w:t xml:space="preserve">The results of this project are expected by CEN/ TC 230/ WG1 “Physical and biochemical methods”. </w:t>
      </w:r>
    </w:p>
    <w:p w14:paraId="3E7236FB" w14:textId="5388F21F" w:rsidR="006D16D6" w:rsidRPr="00B24DCB" w:rsidRDefault="006D16D6" w:rsidP="006D16D6">
      <w:pPr>
        <w:pStyle w:val="EMPIRbodytext"/>
        <w:rPr>
          <w:rFonts w:cs="Arial"/>
          <w:lang w:eastAsia="en-US"/>
        </w:rPr>
      </w:pPr>
      <w:r w:rsidRPr="00B24DCB">
        <w:rPr>
          <w:rFonts w:cs="Arial"/>
          <w:lang w:eastAsia="en-US"/>
        </w:rPr>
        <w:t>The outputs of this project will have an early impact on current standardisation work by providing the knowledge and scientific reports for future technical report(s), technical specification(s) or standards to CEN/TC 230/ WG 1 and by providing input to ISO/ TC 147 so that they can feed into the revision of ISO 5667</w:t>
      </w:r>
      <w:r w:rsidRPr="00B24DCB">
        <w:rPr>
          <w:rFonts w:cs="Arial"/>
          <w:lang w:eastAsia="en-US"/>
        </w:rPr>
        <w:noBreakHyphen/>
        <w:t>3 and ISO DTS 21231. This project will also complete the set of ISO 19040(1-3) standards providing recommendations.</w:t>
      </w:r>
    </w:p>
    <w:p w14:paraId="47BD7F21" w14:textId="77777777" w:rsidR="00130F78" w:rsidRPr="00B24DCB" w:rsidRDefault="00130F78" w:rsidP="006D16D6">
      <w:pPr>
        <w:pStyle w:val="EMPIRbodytext"/>
        <w:rPr>
          <w:rFonts w:cs="Arial"/>
          <w:lang w:eastAsia="en-US"/>
        </w:rPr>
      </w:pPr>
    </w:p>
    <w:p w14:paraId="3EB40B95" w14:textId="77777777" w:rsidR="006D16D6" w:rsidRPr="00B24DCB" w:rsidRDefault="006D16D6" w:rsidP="006D16D6">
      <w:pPr>
        <w:pStyle w:val="EMPIRbodytext"/>
        <w:rPr>
          <w:rFonts w:cs="Arial"/>
          <w:i/>
          <w:lang w:eastAsia="en-US"/>
        </w:rPr>
      </w:pPr>
      <w:r w:rsidRPr="00B24DCB">
        <w:rPr>
          <w:rFonts w:cs="Arial"/>
          <w:i/>
          <w:lang w:eastAsia="en-US"/>
        </w:rPr>
        <w:t>Longer-term economic, social and environmental impacts</w:t>
      </w:r>
    </w:p>
    <w:p w14:paraId="1C2D2926" w14:textId="77777777" w:rsidR="006D16D6" w:rsidRPr="005E3D43" w:rsidRDefault="006D16D6" w:rsidP="006D16D6">
      <w:pPr>
        <w:pStyle w:val="EMPIRbodytext"/>
        <w:rPr>
          <w:rFonts w:cs="Arial"/>
          <w:lang w:eastAsia="en-US"/>
        </w:rPr>
      </w:pPr>
      <w:r w:rsidRPr="005E3D43">
        <w:rPr>
          <w:rFonts w:cs="Arial"/>
          <w:lang w:eastAsia="en-US"/>
        </w:rPr>
        <w:t xml:space="preserve">The outcomes of this project will improve the assessment of human and environmental risks related to the occurrence of endocrine disrupting chemicals in the environment through more accurate and reliable measurement data. The project will enable public authorities to provide data with high level of confidence, to ensure an efficient and comparable implementation of the WFD between Member States, and to inform European citizens who have clearly demonstrated their concern about EDC. By providing measurement results with full uncertainty budgets at very low level of concentration, the project will contribute to better decision making by European policy makers and, as a consequence, to a better protection of human health, aquatic environment and biodiversity. </w:t>
      </w:r>
      <w:r w:rsidRPr="005E3D43">
        <w:rPr>
          <w:rFonts w:cs="Arial"/>
        </w:rPr>
        <w:t>Furthermore, the comparability of data will enable an indirect financial impact by reducing the costs of monitoring and prevention of incorrect decision making.</w:t>
      </w:r>
    </w:p>
    <w:p w14:paraId="7829DEEF" w14:textId="77777777" w:rsidR="0055221D" w:rsidRDefault="0055221D" w:rsidP="0028207D">
      <w:pPr>
        <w:pStyle w:val="Header"/>
        <w:widowControl w:val="0"/>
        <w:tabs>
          <w:tab w:val="clear" w:pos="4536"/>
          <w:tab w:val="clear" w:pos="9072"/>
        </w:tabs>
        <w:spacing w:after="60"/>
        <w:jc w:val="both"/>
        <w:rPr>
          <w:rFonts w:ascii="Arial" w:hAnsi="Arial"/>
          <w:i/>
          <w:lang w:val="en-GB"/>
        </w:rPr>
      </w:pPr>
    </w:p>
    <w:p w14:paraId="2E525C30" w14:textId="77777777" w:rsidR="00C959D4" w:rsidRPr="003F7499" w:rsidRDefault="00C959D4" w:rsidP="0028207D">
      <w:pPr>
        <w:pStyle w:val="Header"/>
        <w:widowControl w:val="0"/>
        <w:tabs>
          <w:tab w:val="clear" w:pos="4536"/>
          <w:tab w:val="clear" w:pos="9072"/>
        </w:tabs>
        <w:spacing w:after="60"/>
        <w:jc w:val="both"/>
        <w:rPr>
          <w:rFonts w:ascii="Arial" w:hAnsi="Arial"/>
          <w:lang w:val="en-GB"/>
        </w:rPr>
      </w:pPr>
    </w:p>
    <w:p w14:paraId="1A00EB29" w14:textId="1FF3E885" w:rsidR="00607EFF" w:rsidRPr="00607EFF" w:rsidRDefault="00607EFF" w:rsidP="00607EFF">
      <w:pPr>
        <w:pStyle w:val="BodyText2"/>
        <w:rPr>
          <w:rFonts w:eastAsia="Times New Roman" w:cs="Times New Roman"/>
          <w:i/>
          <w:sz w:val="20"/>
          <w:lang w:val="en-GB" w:eastAsia="de-D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1"/>
        <w:gridCol w:w="1313"/>
        <w:gridCol w:w="1711"/>
        <w:gridCol w:w="3024"/>
      </w:tblGrid>
      <w:tr w:rsidR="00607EFF" w:rsidRPr="00DC5582" w14:paraId="7A400C4D" w14:textId="77777777" w:rsidTr="00B24DCB">
        <w:tc>
          <w:tcPr>
            <w:tcW w:w="4734" w:type="dxa"/>
            <w:gridSpan w:val="2"/>
          </w:tcPr>
          <w:p w14:paraId="304A4CBA" w14:textId="77777777" w:rsidR="00607EFF" w:rsidRPr="00E32391" w:rsidRDefault="00607EFF" w:rsidP="00B24DCB">
            <w:pPr>
              <w:spacing w:before="60" w:after="60"/>
              <w:rPr>
                <w:rFonts w:ascii="Arial" w:hAnsi="Arial" w:cs="Arial"/>
                <w:sz w:val="18"/>
                <w:lang w:val="en-GB"/>
              </w:rPr>
            </w:pPr>
            <w:r w:rsidRPr="00E32391">
              <w:rPr>
                <w:rFonts w:ascii="Arial" w:hAnsi="Arial" w:cs="Arial"/>
                <w:sz w:val="18"/>
                <w:lang w:val="en-GB"/>
              </w:rPr>
              <w:t>Project start date and duration:</w:t>
            </w:r>
          </w:p>
        </w:tc>
        <w:tc>
          <w:tcPr>
            <w:tcW w:w="4735" w:type="dxa"/>
            <w:gridSpan w:val="2"/>
          </w:tcPr>
          <w:p w14:paraId="2D6E4454" w14:textId="66EE9640" w:rsidR="00607EFF" w:rsidRPr="00E32391" w:rsidRDefault="00D70999" w:rsidP="00B24DCB">
            <w:pPr>
              <w:spacing w:before="60" w:after="60"/>
              <w:rPr>
                <w:rFonts w:ascii="Arial" w:hAnsi="Arial" w:cs="Arial"/>
                <w:sz w:val="18"/>
                <w:lang w:val="en-GB"/>
              </w:rPr>
            </w:pPr>
            <w:r>
              <w:rPr>
                <w:rFonts w:ascii="Arial" w:hAnsi="Arial" w:cs="Arial"/>
                <w:sz w:val="18"/>
                <w:lang w:val="en-GB"/>
              </w:rPr>
              <w:t xml:space="preserve">01 </w:t>
            </w:r>
            <w:r w:rsidR="00EB1B5C">
              <w:rPr>
                <w:rFonts w:ascii="Arial" w:hAnsi="Arial" w:cs="Arial"/>
                <w:sz w:val="18"/>
                <w:lang w:val="en-GB"/>
              </w:rPr>
              <w:t>September</w:t>
            </w:r>
            <w:r>
              <w:rPr>
                <w:rFonts w:ascii="Arial" w:hAnsi="Arial" w:cs="Arial"/>
                <w:sz w:val="18"/>
                <w:lang w:val="en-GB"/>
              </w:rPr>
              <w:t xml:space="preserve"> 2019, 36 Months</w:t>
            </w:r>
          </w:p>
        </w:tc>
      </w:tr>
      <w:tr w:rsidR="00607EFF" w:rsidRPr="00DC5582" w14:paraId="6E285828" w14:textId="77777777" w:rsidTr="00607EFF">
        <w:trPr>
          <w:cantSplit/>
        </w:trPr>
        <w:tc>
          <w:tcPr>
            <w:tcW w:w="9469" w:type="dxa"/>
            <w:gridSpan w:val="4"/>
          </w:tcPr>
          <w:p w14:paraId="0624D23F" w14:textId="4A8F65C1" w:rsidR="00607EFF" w:rsidRPr="00B24DCB" w:rsidRDefault="00607EFF" w:rsidP="00B24DCB">
            <w:pPr>
              <w:spacing w:before="60" w:after="60"/>
              <w:rPr>
                <w:rFonts w:ascii="Arial" w:hAnsi="Arial" w:cs="Arial"/>
                <w:sz w:val="18"/>
                <w:szCs w:val="18"/>
                <w:lang w:val="fr-FR"/>
              </w:rPr>
            </w:pPr>
            <w:r w:rsidRPr="009131D6">
              <w:rPr>
                <w:rFonts w:ascii="Arial" w:hAnsi="Arial" w:cs="Arial"/>
                <w:sz w:val="18"/>
                <w:lang w:val="fr-FR"/>
              </w:rPr>
              <w:t xml:space="preserve">Coordinator: </w:t>
            </w:r>
            <w:r w:rsidR="006D16D6" w:rsidRPr="009131D6">
              <w:rPr>
                <w:rFonts w:ascii="Arial" w:hAnsi="Arial" w:cs="Arial"/>
                <w:sz w:val="18"/>
                <w:lang w:val="fr-FR"/>
              </w:rPr>
              <w:t>Sophie Lardy-Fontan,</w:t>
            </w:r>
            <w:r w:rsidR="006D16D6" w:rsidRPr="009131D6" w:rsidDel="006D16D6">
              <w:rPr>
                <w:rFonts w:ascii="Arial" w:hAnsi="Arial" w:cs="Arial"/>
                <w:sz w:val="18"/>
                <w:lang w:val="fr-FR"/>
              </w:rPr>
              <w:t xml:space="preserve"> </w:t>
            </w:r>
            <w:r w:rsidR="006D16D6" w:rsidRPr="009131D6">
              <w:rPr>
                <w:rFonts w:ascii="Arial" w:hAnsi="Arial" w:cs="Arial"/>
                <w:sz w:val="18"/>
                <w:lang w:val="fr-FR"/>
              </w:rPr>
              <w:t xml:space="preserve">LNE </w:t>
            </w:r>
            <w:r w:rsidR="00B24DCB">
              <w:rPr>
                <w:rFonts w:ascii="Arial" w:hAnsi="Arial" w:cs="Arial"/>
                <w:sz w:val="18"/>
                <w:lang w:val="fr-FR"/>
              </w:rPr>
              <w:t xml:space="preserve">                </w:t>
            </w:r>
            <w:r w:rsidRPr="009131D6">
              <w:rPr>
                <w:rFonts w:ascii="Arial" w:hAnsi="Arial" w:cs="Arial"/>
                <w:sz w:val="18"/>
                <w:lang w:val="fr-FR"/>
              </w:rPr>
              <w:t xml:space="preserve">Tel: </w:t>
            </w:r>
            <w:r w:rsidR="006D16D6" w:rsidRPr="009131D6">
              <w:rPr>
                <w:rFonts w:ascii="Arial" w:hAnsi="Arial" w:cs="Arial"/>
                <w:sz w:val="18"/>
                <w:lang w:val="fr-FR"/>
              </w:rPr>
              <w:t xml:space="preserve">+ </w:t>
            </w:r>
            <w:r w:rsidR="006D16D6" w:rsidRPr="00B24DCB">
              <w:rPr>
                <w:rFonts w:ascii="Arial" w:hAnsi="Arial" w:cs="Arial"/>
                <w:sz w:val="18"/>
                <w:szCs w:val="18"/>
                <w:lang w:val="fr-FR"/>
              </w:rPr>
              <w:t>33140433939</w:t>
            </w:r>
            <w:r w:rsidR="00163F62" w:rsidRPr="00B24DCB">
              <w:rPr>
                <w:rFonts w:ascii="Arial" w:hAnsi="Arial" w:cs="Arial"/>
                <w:sz w:val="18"/>
                <w:szCs w:val="18"/>
                <w:lang w:val="fr-FR"/>
              </w:rPr>
              <w:t xml:space="preserve">   </w:t>
            </w:r>
            <w:r w:rsidR="00B24DCB" w:rsidRPr="00B24DCB">
              <w:rPr>
                <w:rFonts w:ascii="Arial" w:hAnsi="Arial" w:cs="Arial"/>
                <w:sz w:val="18"/>
                <w:szCs w:val="18"/>
                <w:lang w:val="fr-FR"/>
              </w:rPr>
              <w:t xml:space="preserve">  </w:t>
            </w:r>
            <w:r w:rsidR="00B24DCB">
              <w:rPr>
                <w:rFonts w:ascii="Arial" w:hAnsi="Arial" w:cs="Arial"/>
                <w:sz w:val="18"/>
                <w:szCs w:val="18"/>
                <w:lang w:val="fr-FR"/>
              </w:rPr>
              <w:t xml:space="preserve">    </w:t>
            </w:r>
            <w:r w:rsidR="00B24DCB" w:rsidRPr="00B24DCB">
              <w:rPr>
                <w:rFonts w:ascii="Arial" w:hAnsi="Arial" w:cs="Arial"/>
                <w:sz w:val="18"/>
                <w:szCs w:val="18"/>
                <w:lang w:val="fr-FR"/>
              </w:rPr>
              <w:t xml:space="preserve">     </w:t>
            </w:r>
            <w:r w:rsidR="00163F62" w:rsidRPr="00B24DCB">
              <w:rPr>
                <w:rFonts w:ascii="Arial" w:hAnsi="Arial" w:cs="Arial"/>
                <w:sz w:val="18"/>
                <w:szCs w:val="18"/>
                <w:lang w:val="fr-FR"/>
              </w:rPr>
              <w:t xml:space="preserve">    </w:t>
            </w:r>
            <w:r w:rsidRPr="00B24DCB">
              <w:rPr>
                <w:rFonts w:ascii="Arial" w:hAnsi="Arial" w:cs="Arial"/>
                <w:sz w:val="18"/>
                <w:szCs w:val="18"/>
                <w:lang w:val="fr-FR"/>
              </w:rPr>
              <w:t>E-mail:</w:t>
            </w:r>
            <w:r w:rsidR="00D35393" w:rsidRPr="00B24DCB">
              <w:rPr>
                <w:rFonts w:ascii="Arial" w:hAnsi="Arial" w:cs="Arial"/>
                <w:sz w:val="18"/>
                <w:szCs w:val="18"/>
                <w:lang w:val="fr-FR"/>
              </w:rPr>
              <w:t xml:space="preserve"> </w:t>
            </w:r>
            <w:hyperlink r:id="rId11" w:history="1">
              <w:r w:rsidR="00130F78" w:rsidRPr="00B24DCB">
                <w:rPr>
                  <w:rStyle w:val="Hyperlink"/>
                  <w:rFonts w:ascii="Arial" w:hAnsi="Arial" w:cs="Arial"/>
                  <w:sz w:val="18"/>
                  <w:szCs w:val="18"/>
                  <w:lang w:val="fr-FR"/>
                </w:rPr>
                <w:t>sophie.lardy-fontan@lne.fr</w:t>
              </w:r>
            </w:hyperlink>
            <w:r w:rsidR="00130F78" w:rsidRPr="00B24DCB">
              <w:rPr>
                <w:rFonts w:ascii="Arial" w:hAnsi="Arial" w:cs="Arial"/>
                <w:sz w:val="18"/>
                <w:szCs w:val="18"/>
                <w:lang w:val="fr-FR"/>
              </w:rPr>
              <w:t xml:space="preserve"> </w:t>
            </w:r>
          </w:p>
          <w:p w14:paraId="4DA2807F" w14:textId="71B195F2" w:rsidR="00607EFF" w:rsidRPr="00E32391" w:rsidRDefault="00607EFF" w:rsidP="00B24DCB">
            <w:pPr>
              <w:spacing w:before="60" w:after="60"/>
              <w:rPr>
                <w:rFonts w:ascii="Arial" w:hAnsi="Arial" w:cs="Arial"/>
                <w:sz w:val="18"/>
                <w:lang w:val="en-GB"/>
              </w:rPr>
            </w:pPr>
            <w:r w:rsidRPr="00B24DCB">
              <w:rPr>
                <w:rFonts w:ascii="Arial" w:hAnsi="Arial" w:cs="Arial"/>
                <w:sz w:val="18"/>
                <w:szCs w:val="18"/>
                <w:lang w:val="en-GB"/>
              </w:rPr>
              <w:t xml:space="preserve">Project website address: </w:t>
            </w:r>
            <w:hyperlink r:id="rId12" w:history="1">
              <w:r w:rsidR="00AC751D" w:rsidRPr="00B24DCB">
                <w:rPr>
                  <w:rStyle w:val="Hyperlink"/>
                  <w:rFonts w:ascii="Arial" w:hAnsi="Arial" w:cs="Arial"/>
                  <w:sz w:val="18"/>
                  <w:szCs w:val="18"/>
                  <w:lang w:val="en-GB"/>
                </w:rPr>
                <w:t>http://projects.lne.eu/jrp-edc-wfd/</w:t>
              </w:r>
            </w:hyperlink>
            <w:r w:rsidR="00AC751D">
              <w:rPr>
                <w:rFonts w:ascii="Arial" w:hAnsi="Arial" w:cs="Arial"/>
                <w:sz w:val="18"/>
                <w:lang w:val="en-GB"/>
              </w:rPr>
              <w:t xml:space="preserve"> </w:t>
            </w:r>
          </w:p>
        </w:tc>
      </w:tr>
      <w:tr w:rsidR="00B24DCB" w:rsidRPr="00DC5582" w14:paraId="315CDC90" w14:textId="77777777" w:rsidTr="00CA33E5">
        <w:trPr>
          <w:cantSplit/>
        </w:trPr>
        <w:tc>
          <w:tcPr>
            <w:tcW w:w="4734" w:type="dxa"/>
            <w:gridSpan w:val="2"/>
          </w:tcPr>
          <w:p w14:paraId="0C4A7865" w14:textId="77777777" w:rsidR="00B24DCB" w:rsidRDefault="00B24DCB" w:rsidP="00B24DCB">
            <w:pPr>
              <w:spacing w:before="60" w:after="60"/>
              <w:rPr>
                <w:rFonts w:ascii="Arial" w:hAnsi="Arial" w:cs="Arial"/>
                <w:sz w:val="18"/>
                <w:szCs w:val="18"/>
                <w:lang w:val="en-GB"/>
              </w:rPr>
            </w:pPr>
            <w:r w:rsidRPr="00130F78">
              <w:rPr>
                <w:rFonts w:ascii="Arial" w:hAnsi="Arial" w:cs="Arial"/>
                <w:sz w:val="18"/>
                <w:szCs w:val="18"/>
                <w:lang w:val="en-GB"/>
              </w:rPr>
              <w:t>Chief Stakeholder</w:t>
            </w:r>
            <w:r>
              <w:rPr>
                <w:rFonts w:ascii="Arial" w:hAnsi="Arial" w:cs="Arial"/>
                <w:sz w:val="18"/>
                <w:szCs w:val="18"/>
                <w:lang w:val="en-GB"/>
              </w:rPr>
              <w:t xml:space="preserve"> Organisation</w:t>
            </w:r>
            <w:r w:rsidRPr="00130F78">
              <w:rPr>
                <w:rFonts w:ascii="Arial" w:hAnsi="Arial" w:cs="Arial"/>
                <w:sz w:val="18"/>
                <w:szCs w:val="18"/>
                <w:lang w:val="en-GB"/>
              </w:rPr>
              <w:t>:</w:t>
            </w:r>
          </w:p>
          <w:p w14:paraId="30DDEED5" w14:textId="4DFA097A" w:rsidR="00B24DCB" w:rsidRPr="00130F78" w:rsidRDefault="00B24DCB" w:rsidP="00B24DCB">
            <w:pPr>
              <w:spacing w:before="60" w:after="60"/>
              <w:rPr>
                <w:rFonts w:ascii="Arial" w:hAnsi="Arial" w:cs="Arial"/>
                <w:sz w:val="18"/>
                <w:szCs w:val="18"/>
                <w:lang w:val="en-GB"/>
              </w:rPr>
            </w:pPr>
            <w:r w:rsidRPr="00130F78">
              <w:rPr>
                <w:rFonts w:ascii="Arial" w:hAnsi="Arial" w:cs="Arial"/>
                <w:sz w:val="18"/>
                <w:szCs w:val="18"/>
                <w:lang w:val="en-GB"/>
              </w:rPr>
              <w:t>CEN/ TC 230 “Water Analysis”</w:t>
            </w:r>
          </w:p>
        </w:tc>
        <w:tc>
          <w:tcPr>
            <w:tcW w:w="4735" w:type="dxa"/>
            <w:gridSpan w:val="2"/>
          </w:tcPr>
          <w:p w14:paraId="4242F3EB" w14:textId="77777777" w:rsidR="00B24DCB" w:rsidRDefault="00B24DCB" w:rsidP="00B24DCB">
            <w:pPr>
              <w:spacing w:before="60" w:after="60"/>
              <w:rPr>
                <w:rFonts w:ascii="Arial" w:hAnsi="Arial" w:cs="Arial"/>
                <w:sz w:val="18"/>
                <w:szCs w:val="18"/>
                <w:lang w:val="en-GB"/>
              </w:rPr>
            </w:pPr>
            <w:r w:rsidRPr="00130F78">
              <w:rPr>
                <w:rFonts w:ascii="Arial" w:hAnsi="Arial" w:cs="Arial"/>
                <w:sz w:val="18"/>
                <w:szCs w:val="18"/>
                <w:lang w:val="en-GB"/>
              </w:rPr>
              <w:t>Chief Stakeholder</w:t>
            </w:r>
            <w:r>
              <w:rPr>
                <w:rFonts w:ascii="Arial" w:hAnsi="Arial" w:cs="Arial"/>
                <w:sz w:val="18"/>
                <w:szCs w:val="18"/>
                <w:lang w:val="en-GB"/>
              </w:rPr>
              <w:t xml:space="preserve"> Contact</w:t>
            </w:r>
            <w:r w:rsidRPr="00130F78">
              <w:rPr>
                <w:rFonts w:ascii="Arial" w:hAnsi="Arial" w:cs="Arial"/>
                <w:sz w:val="18"/>
                <w:szCs w:val="18"/>
                <w:lang w:val="en-GB"/>
              </w:rPr>
              <w:t xml:space="preserve">: </w:t>
            </w:r>
          </w:p>
          <w:p w14:paraId="1CCAF670" w14:textId="1FF983D3" w:rsidR="00B24DCB" w:rsidRPr="00130F78" w:rsidRDefault="00B24DCB" w:rsidP="00B24DCB">
            <w:pPr>
              <w:spacing w:before="60" w:after="60"/>
              <w:rPr>
                <w:rFonts w:ascii="Arial" w:hAnsi="Arial" w:cs="Arial"/>
                <w:sz w:val="18"/>
                <w:szCs w:val="18"/>
                <w:lang w:val="en-GB"/>
              </w:rPr>
            </w:pPr>
            <w:r w:rsidRPr="00130F78">
              <w:rPr>
                <w:rFonts w:ascii="Arial" w:hAnsi="Arial" w:cs="Arial"/>
                <w:sz w:val="18"/>
                <w:szCs w:val="18"/>
                <w:lang w:val="en-GB"/>
              </w:rPr>
              <w:t>Ulrich Borchers</w:t>
            </w:r>
            <w:r>
              <w:rPr>
                <w:rFonts w:ascii="Arial" w:hAnsi="Arial" w:cs="Arial"/>
                <w:sz w:val="18"/>
                <w:szCs w:val="18"/>
                <w:lang w:val="en-GB"/>
              </w:rPr>
              <w:t xml:space="preserve"> (</w:t>
            </w:r>
            <w:r w:rsidRPr="00130F78">
              <w:rPr>
                <w:rFonts w:ascii="Arial" w:hAnsi="Arial" w:cs="Arial"/>
                <w:sz w:val="18"/>
                <w:szCs w:val="18"/>
                <w:lang w:val="en-GB"/>
              </w:rPr>
              <w:t>Chair TC 230)</w:t>
            </w:r>
          </w:p>
        </w:tc>
      </w:tr>
      <w:tr w:rsidR="002D08B2" w:rsidRPr="00E32391" w14:paraId="61E2BF0F" w14:textId="77777777" w:rsidTr="00607EFF">
        <w:tc>
          <w:tcPr>
            <w:tcW w:w="3421" w:type="dxa"/>
          </w:tcPr>
          <w:p w14:paraId="44AB8E72" w14:textId="77777777" w:rsidR="002D08B2" w:rsidRPr="00E32391" w:rsidRDefault="002D08B2" w:rsidP="00B24DCB">
            <w:pPr>
              <w:spacing w:before="60" w:after="60"/>
              <w:rPr>
                <w:rFonts w:ascii="Arial" w:hAnsi="Arial" w:cs="Arial"/>
                <w:sz w:val="18"/>
                <w:lang w:val="en-GB"/>
              </w:rPr>
            </w:pPr>
            <w:r w:rsidRPr="00E32391">
              <w:rPr>
                <w:rFonts w:ascii="Arial" w:hAnsi="Arial" w:cs="Arial"/>
                <w:sz w:val="18"/>
                <w:lang w:val="en-GB"/>
              </w:rPr>
              <w:t>Internal Funded Partners:</w:t>
            </w:r>
          </w:p>
          <w:p w14:paraId="048472F9" w14:textId="4D28000E" w:rsidR="002D08B2" w:rsidRPr="00CE19F9" w:rsidRDefault="006D16D6" w:rsidP="00B24DCB">
            <w:pPr>
              <w:pStyle w:val="ListParagraph"/>
              <w:numPr>
                <w:ilvl w:val="0"/>
                <w:numId w:val="9"/>
              </w:numPr>
              <w:spacing w:before="60" w:after="60"/>
              <w:ind w:left="204" w:hanging="204"/>
              <w:rPr>
                <w:rFonts w:ascii="Arial" w:hAnsi="Arial" w:cs="Arial"/>
                <w:sz w:val="18"/>
              </w:rPr>
            </w:pPr>
            <w:r>
              <w:rPr>
                <w:rFonts w:ascii="Arial" w:hAnsi="Arial" w:cs="Arial"/>
                <w:sz w:val="18"/>
              </w:rPr>
              <w:t>LNE, France</w:t>
            </w:r>
          </w:p>
          <w:p w14:paraId="683B7FD7" w14:textId="04275F03" w:rsidR="002D08B2" w:rsidRPr="00CE19F9" w:rsidRDefault="006D16D6" w:rsidP="00B24DCB">
            <w:pPr>
              <w:pStyle w:val="ListParagraph"/>
              <w:numPr>
                <w:ilvl w:val="0"/>
                <w:numId w:val="9"/>
              </w:numPr>
              <w:spacing w:before="60" w:after="60"/>
              <w:ind w:left="204" w:hanging="204"/>
              <w:rPr>
                <w:rFonts w:ascii="Arial" w:hAnsi="Arial" w:cs="Arial"/>
                <w:sz w:val="18"/>
              </w:rPr>
            </w:pPr>
            <w:r>
              <w:rPr>
                <w:rFonts w:ascii="Arial" w:hAnsi="Arial" w:cs="Arial"/>
                <w:sz w:val="18"/>
              </w:rPr>
              <w:t>BAM, Germany</w:t>
            </w:r>
          </w:p>
          <w:p w14:paraId="484E50A3" w14:textId="0D816911" w:rsidR="002D08B2" w:rsidRDefault="006D16D6" w:rsidP="00B24DCB">
            <w:pPr>
              <w:pStyle w:val="ListParagraph"/>
              <w:numPr>
                <w:ilvl w:val="0"/>
                <w:numId w:val="9"/>
              </w:numPr>
              <w:spacing w:before="60" w:after="60"/>
              <w:ind w:left="204" w:hanging="204"/>
              <w:rPr>
                <w:rFonts w:ascii="Arial" w:hAnsi="Arial" w:cs="Arial"/>
                <w:sz w:val="18"/>
              </w:rPr>
            </w:pPr>
            <w:r>
              <w:rPr>
                <w:rFonts w:ascii="Arial" w:hAnsi="Arial" w:cs="Arial"/>
                <w:sz w:val="18"/>
              </w:rPr>
              <w:t xml:space="preserve">NIC, Slovenia </w:t>
            </w:r>
          </w:p>
          <w:p w14:paraId="685344D7" w14:textId="77777777" w:rsidR="006D16D6" w:rsidRDefault="006D16D6" w:rsidP="00B24DCB">
            <w:pPr>
              <w:pStyle w:val="ListParagraph"/>
              <w:numPr>
                <w:ilvl w:val="0"/>
                <w:numId w:val="9"/>
              </w:numPr>
              <w:spacing w:before="60" w:after="60"/>
              <w:ind w:left="204" w:hanging="204"/>
              <w:rPr>
                <w:rFonts w:ascii="Arial" w:hAnsi="Arial" w:cs="Arial"/>
                <w:sz w:val="18"/>
              </w:rPr>
            </w:pPr>
            <w:r>
              <w:rPr>
                <w:rFonts w:ascii="Arial" w:hAnsi="Arial" w:cs="Arial"/>
                <w:sz w:val="18"/>
              </w:rPr>
              <w:t xml:space="preserve">SYKE, Finland </w:t>
            </w:r>
          </w:p>
          <w:p w14:paraId="67443CCB" w14:textId="7C3ED6B2" w:rsidR="006D16D6" w:rsidRPr="002D08B2" w:rsidRDefault="006D16D6" w:rsidP="00B24DCB">
            <w:pPr>
              <w:pStyle w:val="ListParagraph"/>
              <w:numPr>
                <w:ilvl w:val="0"/>
                <w:numId w:val="9"/>
              </w:numPr>
              <w:spacing w:before="60" w:after="60"/>
              <w:ind w:left="204" w:hanging="204"/>
              <w:rPr>
                <w:rFonts w:ascii="Arial" w:hAnsi="Arial" w:cs="Arial"/>
                <w:sz w:val="18"/>
              </w:rPr>
            </w:pPr>
            <w:r>
              <w:rPr>
                <w:rFonts w:ascii="Arial" w:hAnsi="Arial" w:cs="Arial"/>
                <w:sz w:val="18"/>
              </w:rPr>
              <w:t>TUBITAK, Turkey</w:t>
            </w:r>
          </w:p>
        </w:tc>
        <w:tc>
          <w:tcPr>
            <w:tcW w:w="3024" w:type="dxa"/>
            <w:gridSpan w:val="2"/>
          </w:tcPr>
          <w:p w14:paraId="3174F9BB" w14:textId="77777777" w:rsidR="002D08B2" w:rsidRPr="00E32391" w:rsidRDefault="002D08B2" w:rsidP="00B24DCB">
            <w:pPr>
              <w:spacing w:before="60" w:after="60"/>
              <w:rPr>
                <w:sz w:val="18"/>
                <w:lang w:val="en-GB"/>
              </w:rPr>
            </w:pPr>
            <w:r w:rsidRPr="00E32391">
              <w:rPr>
                <w:rFonts w:ascii="Arial" w:hAnsi="Arial" w:cs="Arial"/>
                <w:sz w:val="18"/>
                <w:lang w:val="en-GB"/>
              </w:rPr>
              <w:t>External Funded Partners:</w:t>
            </w:r>
          </w:p>
          <w:p w14:paraId="6F9D4902" w14:textId="6A2E468B" w:rsidR="002D08B2" w:rsidRPr="00CE19F9" w:rsidRDefault="00130F78" w:rsidP="00B24DCB">
            <w:pPr>
              <w:pStyle w:val="ListParagraph"/>
              <w:numPr>
                <w:ilvl w:val="0"/>
                <w:numId w:val="9"/>
              </w:numPr>
              <w:spacing w:before="60" w:after="60"/>
              <w:ind w:left="299" w:hanging="299"/>
              <w:rPr>
                <w:rFonts w:ascii="Arial" w:hAnsi="Arial" w:cs="Arial"/>
                <w:sz w:val="18"/>
              </w:rPr>
            </w:pPr>
            <w:r>
              <w:rPr>
                <w:rFonts w:ascii="Arial" w:hAnsi="Arial" w:cs="Arial"/>
                <w:sz w:val="18"/>
              </w:rPr>
              <w:t>ISPRA, Italy</w:t>
            </w:r>
          </w:p>
          <w:p w14:paraId="0006B5E9" w14:textId="7B3F3316" w:rsidR="002D08B2" w:rsidRPr="00CE19F9" w:rsidRDefault="00130F78" w:rsidP="00B24DCB">
            <w:pPr>
              <w:pStyle w:val="ListParagraph"/>
              <w:numPr>
                <w:ilvl w:val="0"/>
                <w:numId w:val="9"/>
              </w:numPr>
              <w:spacing w:before="60" w:after="60"/>
              <w:ind w:left="299" w:hanging="299"/>
              <w:rPr>
                <w:rFonts w:ascii="Arial" w:hAnsi="Arial" w:cs="Arial"/>
                <w:sz w:val="18"/>
              </w:rPr>
            </w:pPr>
            <w:r>
              <w:rPr>
                <w:rFonts w:ascii="Arial" w:hAnsi="Arial" w:cs="Arial"/>
                <w:sz w:val="18"/>
              </w:rPr>
              <w:t xml:space="preserve">JSI, Slovenia </w:t>
            </w:r>
          </w:p>
          <w:p w14:paraId="2113348F" w14:textId="172FC245" w:rsidR="00D35393" w:rsidRDefault="00130F78" w:rsidP="00B24DCB">
            <w:pPr>
              <w:pStyle w:val="ListParagraph"/>
              <w:numPr>
                <w:ilvl w:val="0"/>
                <w:numId w:val="9"/>
              </w:numPr>
              <w:spacing w:before="60" w:after="60"/>
              <w:ind w:left="299" w:hanging="299"/>
              <w:rPr>
                <w:rFonts w:ascii="Arial" w:hAnsi="Arial" w:cs="Arial"/>
                <w:sz w:val="18"/>
              </w:rPr>
            </w:pPr>
            <w:r>
              <w:rPr>
                <w:rFonts w:ascii="Arial" w:hAnsi="Arial" w:cs="Arial"/>
                <w:sz w:val="18"/>
              </w:rPr>
              <w:t xml:space="preserve">UBX, France </w:t>
            </w:r>
          </w:p>
          <w:p w14:paraId="4BBA225E" w14:textId="652C771D" w:rsidR="00D35393" w:rsidRPr="00D35393" w:rsidRDefault="00D35393" w:rsidP="00B24DCB">
            <w:pPr>
              <w:pStyle w:val="ListParagraph"/>
              <w:spacing w:before="60" w:after="60"/>
              <w:ind w:left="299"/>
              <w:rPr>
                <w:rFonts w:ascii="Arial" w:hAnsi="Arial" w:cs="Arial"/>
                <w:sz w:val="18"/>
              </w:rPr>
            </w:pPr>
          </w:p>
        </w:tc>
        <w:tc>
          <w:tcPr>
            <w:tcW w:w="3024" w:type="dxa"/>
          </w:tcPr>
          <w:p w14:paraId="764490F0" w14:textId="77777777" w:rsidR="002D08B2" w:rsidRPr="00E32391" w:rsidRDefault="002D08B2" w:rsidP="00B24DCB">
            <w:pPr>
              <w:spacing w:before="60" w:after="60"/>
              <w:rPr>
                <w:sz w:val="18"/>
                <w:lang w:val="en-GB"/>
              </w:rPr>
            </w:pPr>
            <w:r w:rsidRPr="00E32391">
              <w:rPr>
                <w:rFonts w:ascii="Arial" w:hAnsi="Arial" w:cs="Arial"/>
                <w:sz w:val="18"/>
                <w:lang w:val="en-GB"/>
              </w:rPr>
              <w:t>Unfunded Partners:</w:t>
            </w:r>
          </w:p>
          <w:p w14:paraId="5BA4F1F2" w14:textId="112264E5" w:rsidR="002D08B2" w:rsidRPr="00614006" w:rsidRDefault="002D08B2" w:rsidP="00B24DCB">
            <w:pPr>
              <w:pStyle w:val="ListParagraph"/>
              <w:spacing w:before="60" w:after="60"/>
              <w:ind w:left="251"/>
              <w:rPr>
                <w:rFonts w:ascii="Arial" w:hAnsi="Arial" w:cs="Arial"/>
                <w:sz w:val="18"/>
              </w:rPr>
            </w:pPr>
          </w:p>
        </w:tc>
      </w:tr>
      <w:tr w:rsidR="00163F62" w:rsidRPr="00E32391" w14:paraId="53A46B5B" w14:textId="77777777" w:rsidTr="009915EC">
        <w:tc>
          <w:tcPr>
            <w:tcW w:w="9469" w:type="dxa"/>
            <w:gridSpan w:val="4"/>
          </w:tcPr>
          <w:p w14:paraId="47C109DE" w14:textId="5EB5850A" w:rsidR="00163F62" w:rsidRPr="00E32391" w:rsidRDefault="00163F62" w:rsidP="00B24DCB">
            <w:pPr>
              <w:spacing w:before="60" w:after="60"/>
              <w:rPr>
                <w:rFonts w:ascii="Arial" w:hAnsi="Arial" w:cs="Arial"/>
                <w:sz w:val="18"/>
                <w:lang w:val="en-GB"/>
              </w:rPr>
            </w:pPr>
            <w:r>
              <w:rPr>
                <w:rFonts w:ascii="Arial" w:hAnsi="Arial" w:cs="Arial"/>
                <w:sz w:val="18"/>
                <w:lang w:val="en-GB"/>
              </w:rPr>
              <w:t xml:space="preserve">Linked Third Parties: </w:t>
            </w:r>
            <w:r w:rsidR="00B24DCB">
              <w:rPr>
                <w:rFonts w:ascii="Arial" w:hAnsi="Arial" w:cs="Arial"/>
                <w:sz w:val="18"/>
                <w:lang w:val="en-GB"/>
              </w:rPr>
              <w:t>9</w:t>
            </w:r>
            <w:bookmarkStart w:id="1" w:name="_GoBack"/>
            <w:bookmarkEnd w:id="1"/>
            <w:r>
              <w:rPr>
                <w:rFonts w:ascii="Arial" w:hAnsi="Arial" w:cs="Arial"/>
                <w:sz w:val="18"/>
                <w:lang w:val="en-GB"/>
              </w:rPr>
              <w:t>. CNRS, France (Linked to UBX)</w:t>
            </w:r>
          </w:p>
        </w:tc>
      </w:tr>
      <w:tr w:rsidR="00B24DCB" w:rsidRPr="00E32391" w14:paraId="0B40E674" w14:textId="77777777" w:rsidTr="009915EC">
        <w:tc>
          <w:tcPr>
            <w:tcW w:w="9469" w:type="dxa"/>
            <w:gridSpan w:val="4"/>
          </w:tcPr>
          <w:p w14:paraId="15A58DE2" w14:textId="72CA4A4E" w:rsidR="00B24DCB" w:rsidRDefault="00B24DCB" w:rsidP="00B24DCB">
            <w:pPr>
              <w:spacing w:before="60" w:after="60"/>
              <w:rPr>
                <w:rFonts w:ascii="Arial" w:hAnsi="Arial" w:cs="Arial"/>
                <w:sz w:val="18"/>
                <w:lang w:val="en-GB"/>
              </w:rPr>
            </w:pPr>
            <w:r>
              <w:rPr>
                <w:rFonts w:ascii="Arial" w:hAnsi="Arial" w:cs="Arial"/>
                <w:sz w:val="18"/>
                <w:lang w:val="en-GB"/>
              </w:rPr>
              <w:t>RMG: -</w:t>
            </w:r>
          </w:p>
        </w:tc>
      </w:tr>
    </w:tbl>
    <w:p w14:paraId="419D2655" w14:textId="77777777" w:rsidR="0028207D" w:rsidRDefault="0028207D" w:rsidP="001848A8">
      <w:pPr>
        <w:rPr>
          <w:rFonts w:ascii="Arial" w:hAnsi="Arial" w:cs="Arial"/>
          <w:i/>
          <w:lang w:val="en-GB"/>
        </w:rPr>
      </w:pPr>
    </w:p>
    <w:p w14:paraId="6862F757" w14:textId="77777777" w:rsidR="00D218AA" w:rsidRPr="008176E6" w:rsidRDefault="00D218AA" w:rsidP="00C4345F">
      <w:pPr>
        <w:rPr>
          <w:rFonts w:eastAsia="SimSun"/>
          <w:lang w:val="en-GB" w:eastAsia="zh-CN"/>
        </w:rPr>
      </w:pPr>
    </w:p>
    <w:p w14:paraId="09673CF7" w14:textId="77777777" w:rsidR="00E83884" w:rsidRPr="008176E6" w:rsidRDefault="00E83884" w:rsidP="00C4345F">
      <w:pPr>
        <w:pStyle w:val="Header"/>
        <w:tabs>
          <w:tab w:val="clear" w:pos="4536"/>
          <w:tab w:val="clear" w:pos="9072"/>
          <w:tab w:val="left" w:pos="1020"/>
        </w:tabs>
        <w:rPr>
          <w:b/>
          <w:bCs/>
          <w:i/>
          <w:iCs/>
          <w:lang w:val="en-GB"/>
        </w:rPr>
      </w:pPr>
    </w:p>
    <w:sectPr w:rsidR="00E83884" w:rsidRPr="008176E6" w:rsidSect="007B1293">
      <w:headerReference w:type="even" r:id="rId13"/>
      <w:headerReference w:type="default" r:id="rId14"/>
      <w:footerReference w:type="even" r:id="rId15"/>
      <w:footerReference w:type="default" r:id="rId16"/>
      <w:headerReference w:type="first" r:id="rId17"/>
      <w:footerReference w:type="first" r:id="rId18"/>
      <w:pgSz w:w="11906" w:h="16838" w:code="9"/>
      <w:pgMar w:top="2149" w:right="1134" w:bottom="1134" w:left="1134" w:header="851" w:footer="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C8F6A" w14:textId="77777777" w:rsidR="00F82CF4" w:rsidRDefault="00F82CF4">
      <w:r>
        <w:separator/>
      </w:r>
    </w:p>
  </w:endnote>
  <w:endnote w:type="continuationSeparator" w:id="0">
    <w:p w14:paraId="4AE2EFD3" w14:textId="77777777" w:rsidR="00F82CF4" w:rsidRDefault="00F82CF4">
      <w:r>
        <w:continuationSeparator/>
      </w:r>
    </w:p>
  </w:endnote>
  <w:endnote w:type="continuationNotice" w:id="1">
    <w:p w14:paraId="3D58D6B2" w14:textId="77777777" w:rsidR="00F82CF4" w:rsidRDefault="00F82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9295" w14:textId="77777777" w:rsidR="00B24DCB" w:rsidRDefault="00B24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 w:type="dxa"/>
      <w:tblCellMar>
        <w:left w:w="70" w:type="dxa"/>
        <w:right w:w="70" w:type="dxa"/>
      </w:tblCellMar>
      <w:tblLook w:val="0000" w:firstRow="0" w:lastRow="0" w:firstColumn="0" w:lastColumn="0" w:noHBand="0" w:noVBand="0"/>
    </w:tblPr>
    <w:tblGrid>
      <w:gridCol w:w="4187"/>
      <w:gridCol w:w="1559"/>
      <w:gridCol w:w="3969"/>
    </w:tblGrid>
    <w:tr w:rsidR="00C4345F" w14:paraId="09673D0D" w14:textId="77777777" w:rsidTr="007B1293">
      <w:trPr>
        <w:trHeight w:val="429"/>
      </w:trPr>
      <w:tc>
        <w:tcPr>
          <w:tcW w:w="4187" w:type="dxa"/>
        </w:tcPr>
        <w:p w14:paraId="09673D06" w14:textId="77777777" w:rsidR="00C4345F" w:rsidRDefault="00C4345F">
          <w:pPr>
            <w:pStyle w:val="Footer"/>
            <w:rPr>
              <w:rFonts w:ascii="Arial" w:hAnsi="Arial" w:cs="Arial"/>
              <w:b/>
              <w:color w:val="000000"/>
              <w:sz w:val="14"/>
              <w:szCs w:val="14"/>
            </w:rPr>
          </w:pPr>
        </w:p>
        <w:p w14:paraId="09673D07" w14:textId="77777777" w:rsidR="00C4345F" w:rsidRDefault="00C4345F" w:rsidP="0016333A">
          <w:pPr>
            <w:pStyle w:val="Footer"/>
            <w:rPr>
              <w:rFonts w:ascii="Arial" w:hAnsi="Arial" w:cs="Arial"/>
              <w:sz w:val="14"/>
              <w:szCs w:val="16"/>
            </w:rPr>
          </w:pPr>
        </w:p>
      </w:tc>
      <w:tc>
        <w:tcPr>
          <w:tcW w:w="1559" w:type="dxa"/>
        </w:tcPr>
        <w:p w14:paraId="09673D08" w14:textId="77777777" w:rsidR="00C4345F" w:rsidRDefault="00C4345F">
          <w:pPr>
            <w:rPr>
              <w:rFonts w:ascii="Arial" w:hAnsi="Arial" w:cs="Arial"/>
              <w:snapToGrid w:val="0"/>
              <w:sz w:val="14"/>
              <w:szCs w:val="10"/>
              <w:lang w:val="en-GB"/>
            </w:rPr>
          </w:pPr>
        </w:p>
        <w:p w14:paraId="09673D09" w14:textId="3B579D29" w:rsidR="00C4345F" w:rsidRDefault="00C4345F">
          <w:pPr>
            <w:jc w:val="center"/>
            <w:rPr>
              <w:rFonts w:ascii="Arial" w:hAnsi="Arial" w:cs="Arial"/>
              <w:b/>
              <w:sz w:val="14"/>
              <w:lang w:val="en-GB"/>
            </w:rPr>
          </w:pPr>
          <w:r w:rsidRPr="0043629D">
            <w:rPr>
              <w:rStyle w:val="PageNumber"/>
              <w:rFonts w:ascii="Arial" w:hAnsi="Arial" w:cs="Arial"/>
            </w:rPr>
            <w:fldChar w:fldCharType="begin"/>
          </w:r>
          <w:r w:rsidRPr="0043629D">
            <w:rPr>
              <w:rStyle w:val="PageNumber"/>
              <w:rFonts w:ascii="Arial" w:hAnsi="Arial" w:cs="Arial"/>
            </w:rPr>
            <w:instrText xml:space="preserve"> PAGE </w:instrText>
          </w:r>
          <w:r w:rsidRPr="0043629D">
            <w:rPr>
              <w:rStyle w:val="PageNumber"/>
              <w:rFonts w:ascii="Arial" w:hAnsi="Arial" w:cs="Arial"/>
            </w:rPr>
            <w:fldChar w:fldCharType="separate"/>
          </w:r>
          <w:r w:rsidR="00595441">
            <w:rPr>
              <w:rStyle w:val="PageNumber"/>
              <w:rFonts w:ascii="Arial" w:hAnsi="Arial" w:cs="Arial"/>
              <w:noProof/>
            </w:rPr>
            <w:t>4</w:t>
          </w:r>
          <w:r w:rsidRPr="0043629D">
            <w:rPr>
              <w:rStyle w:val="PageNumber"/>
              <w:rFonts w:ascii="Arial" w:hAnsi="Arial" w:cs="Arial"/>
            </w:rPr>
            <w:fldChar w:fldCharType="end"/>
          </w:r>
          <w:r w:rsidRPr="0043629D">
            <w:rPr>
              <w:rStyle w:val="PageNumber"/>
              <w:rFonts w:ascii="Arial" w:hAnsi="Arial" w:cs="Arial"/>
            </w:rPr>
            <w:t>/</w:t>
          </w:r>
          <w:r w:rsidRPr="0043629D">
            <w:rPr>
              <w:rStyle w:val="PageNumber"/>
              <w:rFonts w:ascii="Arial" w:hAnsi="Arial" w:cs="Arial"/>
            </w:rPr>
            <w:fldChar w:fldCharType="begin"/>
          </w:r>
          <w:r w:rsidRPr="0043629D">
            <w:rPr>
              <w:rStyle w:val="PageNumber"/>
              <w:rFonts w:ascii="Arial" w:hAnsi="Arial" w:cs="Arial"/>
            </w:rPr>
            <w:instrText xml:space="preserve"> NUMPAGES </w:instrText>
          </w:r>
          <w:r w:rsidRPr="0043629D">
            <w:rPr>
              <w:rStyle w:val="PageNumber"/>
              <w:rFonts w:ascii="Arial" w:hAnsi="Arial" w:cs="Arial"/>
            </w:rPr>
            <w:fldChar w:fldCharType="separate"/>
          </w:r>
          <w:r w:rsidR="00595441">
            <w:rPr>
              <w:rStyle w:val="PageNumber"/>
              <w:rFonts w:ascii="Arial" w:hAnsi="Arial" w:cs="Arial"/>
              <w:noProof/>
            </w:rPr>
            <w:t>4</w:t>
          </w:r>
          <w:r w:rsidRPr="0043629D">
            <w:rPr>
              <w:rStyle w:val="PageNumber"/>
              <w:rFonts w:ascii="Arial" w:hAnsi="Arial" w:cs="Arial"/>
            </w:rPr>
            <w:fldChar w:fldCharType="end"/>
          </w:r>
        </w:p>
      </w:tc>
      <w:tc>
        <w:tcPr>
          <w:tcW w:w="3969" w:type="dxa"/>
        </w:tcPr>
        <w:p w14:paraId="09673D0A" w14:textId="77777777" w:rsidR="00C4345F" w:rsidRDefault="00C4345F">
          <w:pPr>
            <w:pStyle w:val="Footer"/>
            <w:jc w:val="right"/>
            <w:rPr>
              <w:rFonts w:ascii="Arial" w:hAnsi="Arial" w:cs="Arial"/>
              <w:sz w:val="14"/>
            </w:rPr>
          </w:pPr>
        </w:p>
        <w:p w14:paraId="09673D0B" w14:textId="77777777" w:rsidR="00C4345F" w:rsidRDefault="00C4345F">
          <w:pPr>
            <w:pStyle w:val="Footer"/>
            <w:jc w:val="right"/>
            <w:rPr>
              <w:rFonts w:ascii="Arial" w:hAnsi="Arial" w:cs="Arial"/>
              <w:sz w:val="14"/>
            </w:rPr>
          </w:pPr>
        </w:p>
        <w:p w14:paraId="09673D0C" w14:textId="77777777" w:rsidR="00C4345F" w:rsidRDefault="00C4345F">
          <w:pPr>
            <w:rPr>
              <w:snapToGrid w:val="0"/>
              <w:lang w:val="en-GB"/>
            </w:rPr>
          </w:pPr>
        </w:p>
      </w:tc>
    </w:tr>
  </w:tbl>
  <w:p w14:paraId="09673D0E" w14:textId="77777777" w:rsidR="00C4345F" w:rsidRDefault="00C4345F">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1631" w:type="dxa"/>
      <w:tblCellMar>
        <w:left w:w="70" w:type="dxa"/>
        <w:right w:w="70" w:type="dxa"/>
      </w:tblCellMar>
      <w:tblLook w:val="0000" w:firstRow="0" w:lastRow="0" w:firstColumn="0" w:lastColumn="0" w:noHBand="0" w:noVBand="0"/>
    </w:tblPr>
    <w:tblGrid>
      <w:gridCol w:w="1543"/>
      <w:gridCol w:w="2852"/>
      <w:gridCol w:w="3129"/>
      <w:gridCol w:w="3781"/>
      <w:gridCol w:w="35"/>
    </w:tblGrid>
    <w:tr w:rsidR="00C4345F" w14:paraId="09673D1F" w14:textId="77777777" w:rsidTr="000E545F">
      <w:trPr>
        <w:cantSplit/>
        <w:trHeight w:val="283"/>
      </w:trPr>
      <w:tc>
        <w:tcPr>
          <w:tcW w:w="11340" w:type="dxa"/>
          <w:gridSpan w:val="5"/>
        </w:tcPr>
        <w:p w14:paraId="09673D1D" w14:textId="77777777" w:rsidR="00C4345F" w:rsidRDefault="00C4345F" w:rsidP="000E545F">
          <w:pPr>
            <w:pStyle w:val="BalloonText"/>
            <w:pBdr>
              <w:bottom w:val="single" w:sz="4" w:space="1" w:color="auto"/>
            </w:pBdr>
            <w:rPr>
              <w:rFonts w:ascii="Arial" w:hAnsi="Arial" w:cs="Times New Roman"/>
              <w:szCs w:val="20"/>
              <w:lang w:val="en-GB"/>
            </w:rPr>
          </w:pPr>
        </w:p>
        <w:p w14:paraId="09673D1E" w14:textId="77777777" w:rsidR="00C4345F" w:rsidRDefault="00C4345F" w:rsidP="000E545F">
          <w:pPr>
            <w:tabs>
              <w:tab w:val="left" w:pos="3899"/>
            </w:tabs>
            <w:ind w:left="1631"/>
            <w:rPr>
              <w:rFonts w:cs="Arial"/>
              <w:color w:val="006662"/>
              <w:sz w:val="14"/>
              <w:szCs w:val="14"/>
              <w:lang w:val="en-GB"/>
            </w:rPr>
          </w:pPr>
        </w:p>
      </w:tc>
    </w:tr>
    <w:tr w:rsidR="00C4345F" w14:paraId="09673D2D" w14:textId="77777777" w:rsidTr="00E03506">
      <w:trPr>
        <w:gridAfter w:val="1"/>
        <w:wAfter w:w="35" w:type="dxa"/>
        <w:cantSplit/>
        <w:trHeight w:val="860"/>
      </w:trPr>
      <w:tc>
        <w:tcPr>
          <w:tcW w:w="1543" w:type="dxa"/>
        </w:tcPr>
        <w:p w14:paraId="09673D20" w14:textId="77777777" w:rsidR="00C4345F" w:rsidRDefault="00C4345F" w:rsidP="000E545F">
          <w:pPr>
            <w:pStyle w:val="Footer"/>
            <w:spacing w:before="80"/>
            <w:ind w:firstLine="74"/>
            <w:rPr>
              <w:rFonts w:cs="Arial"/>
              <w:b/>
              <w:noProof/>
              <w:color w:val="00285B"/>
              <w:sz w:val="14"/>
              <w:szCs w:val="14"/>
              <w:lang w:val="en-GB"/>
            </w:rPr>
          </w:pPr>
        </w:p>
      </w:tc>
      <w:tc>
        <w:tcPr>
          <w:tcW w:w="2852" w:type="dxa"/>
        </w:tcPr>
        <w:p w14:paraId="09673D21" w14:textId="7E721B32" w:rsidR="00C4345F" w:rsidRDefault="00C4345F" w:rsidP="000E545F">
          <w:pPr>
            <w:tabs>
              <w:tab w:val="left" w:pos="3899"/>
            </w:tabs>
            <w:rPr>
              <w:rFonts w:ascii="Arial" w:hAnsi="Arial"/>
              <w:sz w:val="22"/>
              <w:lang w:val="en-GB"/>
            </w:rPr>
          </w:pPr>
          <w:r>
            <w:rPr>
              <w:rFonts w:ascii="Arial" w:hAnsi="Arial"/>
              <w:b/>
              <w:bCs/>
              <w:sz w:val="22"/>
              <w:lang w:val="en-GB"/>
            </w:rPr>
            <w:t xml:space="preserve">Report Status: PU </w:t>
          </w:r>
          <w:r>
            <w:rPr>
              <w:rFonts w:ascii="Arial" w:hAnsi="Arial"/>
              <w:sz w:val="22"/>
              <w:lang w:val="en-GB"/>
            </w:rPr>
            <w:t>Public</w:t>
          </w:r>
        </w:p>
        <w:p w14:paraId="09673D22" w14:textId="77777777" w:rsidR="00C4345F" w:rsidRDefault="00C4345F" w:rsidP="000E545F">
          <w:pPr>
            <w:pStyle w:val="Footer"/>
            <w:rPr>
              <w:rFonts w:ascii="Arial" w:hAnsi="Arial" w:cs="Arial"/>
              <w:b/>
              <w:color w:val="000000"/>
              <w:sz w:val="14"/>
              <w:szCs w:val="14"/>
              <w:lang w:val="en-GB"/>
            </w:rPr>
          </w:pPr>
        </w:p>
        <w:p w14:paraId="09673D23" w14:textId="77777777" w:rsidR="00C4345F" w:rsidRDefault="00C4345F" w:rsidP="000E545F">
          <w:pPr>
            <w:pStyle w:val="Footer"/>
            <w:rPr>
              <w:rFonts w:ascii="Arial" w:hAnsi="Arial" w:cs="Arial"/>
              <w:b/>
              <w:color w:val="000000"/>
              <w:sz w:val="14"/>
              <w:szCs w:val="14"/>
              <w:lang w:val="en-GB"/>
            </w:rPr>
          </w:pPr>
        </w:p>
        <w:p w14:paraId="09673D24" w14:textId="3F455619" w:rsidR="00C4345F" w:rsidRDefault="00C4345F" w:rsidP="000E545F">
          <w:pPr>
            <w:pStyle w:val="Footer"/>
            <w:rPr>
              <w:rFonts w:ascii="Arial" w:hAnsi="Arial" w:cs="Arial"/>
              <w:b/>
              <w:color w:val="000000"/>
              <w:sz w:val="14"/>
              <w:szCs w:val="14"/>
              <w:lang w:val="en-GB"/>
            </w:rPr>
          </w:pPr>
          <w:r>
            <w:rPr>
              <w:rFonts w:ascii="Arial" w:hAnsi="Arial" w:cs="Arial"/>
              <w:b/>
              <w:color w:val="000000"/>
              <w:sz w:val="14"/>
              <w:szCs w:val="14"/>
              <w:lang w:val="en-GB"/>
            </w:rPr>
            <w:t xml:space="preserve">Publishable Summary </w:t>
          </w:r>
        </w:p>
        <w:p w14:paraId="09673D25" w14:textId="77777777" w:rsidR="00C4345F" w:rsidRDefault="00C4345F" w:rsidP="000E545F">
          <w:pPr>
            <w:pStyle w:val="Footer"/>
            <w:rPr>
              <w:rFonts w:ascii="Arial" w:hAnsi="Arial" w:cs="Arial"/>
              <w:b/>
              <w:color w:val="000000"/>
              <w:sz w:val="14"/>
              <w:szCs w:val="14"/>
              <w:lang w:val="en-GB"/>
            </w:rPr>
          </w:pPr>
        </w:p>
        <w:p w14:paraId="09673D26" w14:textId="3BF980F3" w:rsidR="00C4345F" w:rsidRPr="00AC23AD" w:rsidRDefault="00C4345F" w:rsidP="000E545F">
          <w:pPr>
            <w:pStyle w:val="Footer"/>
            <w:rPr>
              <w:rFonts w:ascii="Arial" w:hAnsi="Arial" w:cs="Arial"/>
              <w:sz w:val="14"/>
              <w:szCs w:val="16"/>
              <w:lang w:val="en-GB"/>
            </w:rPr>
          </w:pPr>
          <w:r>
            <w:rPr>
              <w:rFonts w:ascii="Arial" w:hAnsi="Arial" w:cs="Arial"/>
              <w:color w:val="000000"/>
              <w:sz w:val="14"/>
              <w:lang w:val="en-GB"/>
            </w:rPr>
            <w:t xml:space="preserve">Issued: </w:t>
          </w:r>
          <w:r w:rsidR="001B6EB0">
            <w:rPr>
              <w:rFonts w:ascii="Arial" w:hAnsi="Arial" w:cs="Arial"/>
              <w:color w:val="000000"/>
              <w:sz w:val="14"/>
              <w:lang w:val="en-GB"/>
            </w:rPr>
            <w:t xml:space="preserve">September </w:t>
          </w:r>
          <w:r>
            <w:rPr>
              <w:rFonts w:ascii="Arial" w:hAnsi="Arial" w:cs="Arial"/>
              <w:color w:val="000000"/>
              <w:sz w:val="14"/>
              <w:lang w:val="en-GB"/>
            </w:rPr>
            <w:t>2019</w:t>
          </w:r>
        </w:p>
      </w:tc>
      <w:tc>
        <w:tcPr>
          <w:tcW w:w="3129" w:type="dxa"/>
        </w:tcPr>
        <w:p w14:paraId="09673D27" w14:textId="77777777" w:rsidR="00C4345F" w:rsidRPr="0043629D" w:rsidRDefault="00C4345F" w:rsidP="000E545F">
          <w:pPr>
            <w:pStyle w:val="Footer"/>
            <w:jc w:val="center"/>
            <w:rPr>
              <w:rFonts w:ascii="Arial" w:hAnsi="Arial" w:cs="Arial"/>
              <w:i/>
              <w:sz w:val="14"/>
              <w:szCs w:val="14"/>
              <w:lang w:val="en-GB"/>
            </w:rPr>
          </w:pPr>
          <w:r w:rsidRPr="0043629D">
            <w:rPr>
              <w:rFonts w:ascii="Arial" w:hAnsi="Arial" w:cs="Arial"/>
              <w:i/>
              <w:sz w:val="14"/>
              <w:szCs w:val="14"/>
              <w:lang w:val="en-GB"/>
            </w:rPr>
            <w:t>This publication reflects only the author’s view and the Commission is not responsible for any use that may be made of the information it contains.</w:t>
          </w:r>
        </w:p>
      </w:tc>
      <w:tc>
        <w:tcPr>
          <w:tcW w:w="3781" w:type="dxa"/>
        </w:tcPr>
        <w:p w14:paraId="09673D2B" w14:textId="00CE5238" w:rsidR="00C4345F" w:rsidRDefault="00C4345F" w:rsidP="00E03506">
          <w:pPr>
            <w:pStyle w:val="Footer"/>
            <w:jc w:val="right"/>
            <w:rPr>
              <w:rFonts w:ascii="Arial" w:hAnsi="Arial" w:cs="Arial"/>
              <w:b/>
              <w:noProof/>
              <w:sz w:val="24"/>
              <w:szCs w:val="24"/>
              <w:lang w:val="en-GB" w:eastAsia="en-GB"/>
            </w:rPr>
          </w:pPr>
          <w:r>
            <w:rPr>
              <w:rFonts w:ascii="Arial" w:hAnsi="Arial" w:cs="Arial"/>
              <w:b/>
              <w:noProof/>
              <w:sz w:val="24"/>
              <w:szCs w:val="24"/>
              <w:lang w:val="fr-FR" w:eastAsia="fr-FR"/>
            </w:rPr>
            <w:drawing>
              <wp:inline distT="0" distB="0" distL="0" distR="0" wp14:anchorId="0634E3EC" wp14:editId="317BBA17">
                <wp:extent cx="2312192" cy="4971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EMPIR (RGB) 300 c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3326" cy="505976"/>
                        </a:xfrm>
                        <a:prstGeom prst="rect">
                          <a:avLst/>
                        </a:prstGeom>
                      </pic:spPr>
                    </pic:pic>
                  </a:graphicData>
                </a:graphic>
              </wp:inline>
            </w:drawing>
          </w:r>
        </w:p>
        <w:p w14:paraId="09673D2C" w14:textId="77777777" w:rsidR="00C4345F" w:rsidRDefault="00C4345F" w:rsidP="000E545F">
          <w:pPr>
            <w:pStyle w:val="Footer"/>
            <w:rPr>
              <w:rFonts w:cs="Arial"/>
              <w:color w:val="006662"/>
              <w:sz w:val="14"/>
              <w:szCs w:val="14"/>
              <w:lang w:val="en-GB"/>
            </w:rPr>
          </w:pPr>
        </w:p>
      </w:tc>
    </w:tr>
  </w:tbl>
  <w:p w14:paraId="0F2FEF11" w14:textId="77777777" w:rsidR="00C4345F" w:rsidRPr="00CB2687" w:rsidRDefault="00C4345F">
    <w:pPr>
      <w:rPr>
        <w:sz w:val="2"/>
        <w:szCs w:val="2"/>
      </w:rPr>
    </w:pPr>
  </w:p>
  <w:tbl>
    <w:tblPr>
      <w:tblW w:w="12428" w:type="dxa"/>
      <w:tblInd w:w="-1631" w:type="dxa"/>
      <w:tblCellMar>
        <w:left w:w="70" w:type="dxa"/>
        <w:right w:w="70" w:type="dxa"/>
      </w:tblCellMar>
      <w:tblLook w:val="0000" w:firstRow="0" w:lastRow="0" w:firstColumn="0" w:lastColumn="0" w:noHBand="0" w:noVBand="0"/>
    </w:tblPr>
    <w:tblGrid>
      <w:gridCol w:w="1543"/>
      <w:gridCol w:w="2852"/>
      <w:gridCol w:w="4252"/>
      <w:gridCol w:w="3781"/>
    </w:tblGrid>
    <w:tr w:rsidR="00C4345F" w14:paraId="09673D32" w14:textId="77777777" w:rsidTr="00CB2687">
      <w:trPr>
        <w:cantSplit/>
        <w:trHeight w:val="325"/>
      </w:trPr>
      <w:tc>
        <w:tcPr>
          <w:tcW w:w="1543" w:type="dxa"/>
        </w:tcPr>
        <w:p w14:paraId="09673D2E" w14:textId="77777777" w:rsidR="00C4345F" w:rsidRDefault="00C4345F" w:rsidP="000E545F">
          <w:pPr>
            <w:pStyle w:val="Footer"/>
            <w:spacing w:before="80"/>
            <w:ind w:firstLine="74"/>
            <w:rPr>
              <w:rFonts w:cs="Arial"/>
              <w:b/>
              <w:noProof/>
              <w:color w:val="00285B"/>
              <w:sz w:val="14"/>
              <w:szCs w:val="14"/>
              <w:lang w:val="en-GB"/>
            </w:rPr>
          </w:pPr>
        </w:p>
      </w:tc>
      <w:tc>
        <w:tcPr>
          <w:tcW w:w="2852" w:type="dxa"/>
        </w:tcPr>
        <w:p w14:paraId="09673D2F" w14:textId="77777777" w:rsidR="00C4345F" w:rsidRDefault="00C4345F" w:rsidP="000E545F">
          <w:pPr>
            <w:tabs>
              <w:tab w:val="left" w:pos="3899"/>
            </w:tabs>
            <w:rPr>
              <w:rFonts w:ascii="Arial" w:hAnsi="Arial"/>
              <w:b/>
              <w:bCs/>
              <w:sz w:val="22"/>
              <w:lang w:val="en-GB"/>
            </w:rPr>
          </w:pPr>
        </w:p>
      </w:tc>
      <w:tc>
        <w:tcPr>
          <w:tcW w:w="4252" w:type="dxa"/>
          <w:vAlign w:val="bottom"/>
        </w:tcPr>
        <w:p w14:paraId="09673D30" w14:textId="2B848B91" w:rsidR="00C4345F" w:rsidRPr="0043629D" w:rsidRDefault="00C4345F" w:rsidP="000E545F">
          <w:pPr>
            <w:pStyle w:val="Footer"/>
            <w:jc w:val="center"/>
            <w:rPr>
              <w:rStyle w:val="PageNumber"/>
              <w:rFonts w:ascii="Arial" w:hAnsi="Arial" w:cs="Arial"/>
            </w:rPr>
          </w:pPr>
          <w:r w:rsidRPr="0043629D">
            <w:rPr>
              <w:rStyle w:val="PageNumber"/>
              <w:rFonts w:ascii="Arial" w:hAnsi="Arial" w:cs="Arial"/>
            </w:rPr>
            <w:fldChar w:fldCharType="begin"/>
          </w:r>
          <w:r w:rsidRPr="0043629D">
            <w:rPr>
              <w:rStyle w:val="PageNumber"/>
              <w:rFonts w:ascii="Arial" w:hAnsi="Arial" w:cs="Arial"/>
            </w:rPr>
            <w:instrText xml:space="preserve"> PAGE </w:instrText>
          </w:r>
          <w:r w:rsidRPr="0043629D">
            <w:rPr>
              <w:rStyle w:val="PageNumber"/>
              <w:rFonts w:ascii="Arial" w:hAnsi="Arial" w:cs="Arial"/>
            </w:rPr>
            <w:fldChar w:fldCharType="separate"/>
          </w:r>
          <w:r w:rsidR="00595441">
            <w:rPr>
              <w:rStyle w:val="PageNumber"/>
              <w:rFonts w:ascii="Arial" w:hAnsi="Arial" w:cs="Arial"/>
              <w:noProof/>
            </w:rPr>
            <w:t>1</w:t>
          </w:r>
          <w:r w:rsidRPr="0043629D">
            <w:rPr>
              <w:rStyle w:val="PageNumber"/>
              <w:rFonts w:ascii="Arial" w:hAnsi="Arial" w:cs="Arial"/>
            </w:rPr>
            <w:fldChar w:fldCharType="end"/>
          </w:r>
          <w:r w:rsidRPr="0043629D">
            <w:rPr>
              <w:rStyle w:val="PageNumber"/>
              <w:rFonts w:ascii="Arial" w:hAnsi="Arial" w:cs="Arial"/>
            </w:rPr>
            <w:t>/</w:t>
          </w:r>
          <w:r w:rsidRPr="0043629D">
            <w:rPr>
              <w:rStyle w:val="PageNumber"/>
              <w:rFonts w:ascii="Arial" w:hAnsi="Arial" w:cs="Arial"/>
            </w:rPr>
            <w:fldChar w:fldCharType="begin"/>
          </w:r>
          <w:r w:rsidRPr="0043629D">
            <w:rPr>
              <w:rStyle w:val="PageNumber"/>
              <w:rFonts w:ascii="Arial" w:hAnsi="Arial" w:cs="Arial"/>
            </w:rPr>
            <w:instrText xml:space="preserve"> NUMPAGES </w:instrText>
          </w:r>
          <w:r w:rsidRPr="0043629D">
            <w:rPr>
              <w:rStyle w:val="PageNumber"/>
              <w:rFonts w:ascii="Arial" w:hAnsi="Arial" w:cs="Arial"/>
            </w:rPr>
            <w:fldChar w:fldCharType="separate"/>
          </w:r>
          <w:r w:rsidR="00595441">
            <w:rPr>
              <w:rStyle w:val="PageNumber"/>
              <w:rFonts w:ascii="Arial" w:hAnsi="Arial" w:cs="Arial"/>
              <w:noProof/>
            </w:rPr>
            <w:t>4</w:t>
          </w:r>
          <w:r w:rsidRPr="0043629D">
            <w:rPr>
              <w:rStyle w:val="PageNumber"/>
              <w:rFonts w:ascii="Arial" w:hAnsi="Arial" w:cs="Arial"/>
            </w:rPr>
            <w:fldChar w:fldCharType="end"/>
          </w:r>
        </w:p>
      </w:tc>
      <w:tc>
        <w:tcPr>
          <w:tcW w:w="3781" w:type="dxa"/>
        </w:tcPr>
        <w:p w14:paraId="09673D31" w14:textId="77777777" w:rsidR="00C4345F" w:rsidRDefault="00C4345F" w:rsidP="000E545F">
          <w:pPr>
            <w:pStyle w:val="Footer"/>
            <w:rPr>
              <w:rFonts w:ascii="Arial" w:hAnsi="Arial" w:cs="Arial"/>
              <w:b/>
              <w:noProof/>
              <w:sz w:val="24"/>
              <w:szCs w:val="24"/>
              <w:lang w:val="en-GB" w:eastAsia="en-GB"/>
            </w:rPr>
          </w:pPr>
        </w:p>
      </w:tc>
    </w:tr>
  </w:tbl>
  <w:p w14:paraId="09673D33" w14:textId="77777777" w:rsidR="00C4345F" w:rsidRDefault="00C43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97D3F" w14:textId="77777777" w:rsidR="00F82CF4" w:rsidRDefault="00F82CF4">
      <w:r>
        <w:separator/>
      </w:r>
    </w:p>
  </w:footnote>
  <w:footnote w:type="continuationSeparator" w:id="0">
    <w:p w14:paraId="303F71D5" w14:textId="77777777" w:rsidR="00F82CF4" w:rsidRDefault="00F82CF4">
      <w:r>
        <w:continuationSeparator/>
      </w:r>
    </w:p>
  </w:footnote>
  <w:footnote w:type="continuationNotice" w:id="1">
    <w:p w14:paraId="274F1A75" w14:textId="77777777" w:rsidR="00F82CF4" w:rsidRDefault="00F82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0EC7" w14:textId="77777777" w:rsidR="00B24DCB" w:rsidRDefault="00B24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000" w:firstRow="0" w:lastRow="0" w:firstColumn="0" w:lastColumn="0" w:noHBand="0" w:noVBand="0"/>
    </w:tblPr>
    <w:tblGrid>
      <w:gridCol w:w="5353"/>
      <w:gridCol w:w="4394"/>
    </w:tblGrid>
    <w:tr w:rsidR="00C4345F" w14:paraId="09673D03" w14:textId="77777777" w:rsidTr="007B1293">
      <w:trPr>
        <w:trHeight w:val="1419"/>
      </w:trPr>
      <w:tc>
        <w:tcPr>
          <w:tcW w:w="5353" w:type="dxa"/>
        </w:tcPr>
        <w:p w14:paraId="09673D01" w14:textId="01BAD966" w:rsidR="00C4345F" w:rsidRPr="00A7566B" w:rsidRDefault="00C4345F" w:rsidP="00D35393">
          <w:pPr>
            <w:pStyle w:val="Header"/>
            <w:tabs>
              <w:tab w:val="clear" w:pos="4536"/>
              <w:tab w:val="left" w:pos="465"/>
              <w:tab w:val="center" w:pos="4962"/>
              <w:tab w:val="right" w:pos="9638"/>
            </w:tabs>
            <w:ind w:right="-251"/>
            <w:rPr>
              <w:rFonts w:ascii="Arial" w:hAnsi="Arial" w:cs="Arial"/>
              <w:b/>
              <w:lang w:val="en-GB"/>
            </w:rPr>
          </w:pPr>
          <w:r>
            <w:rPr>
              <w:rFonts w:ascii="Arial" w:hAnsi="Arial" w:cs="Arial"/>
              <w:b/>
              <w:sz w:val="24"/>
              <w:szCs w:val="24"/>
              <w:lang w:val="en-GB"/>
            </w:rPr>
            <w:t>18NRM0</w:t>
          </w:r>
          <w:r w:rsidR="00130F78">
            <w:rPr>
              <w:rFonts w:ascii="Arial" w:hAnsi="Arial" w:cs="Arial"/>
              <w:b/>
              <w:sz w:val="24"/>
              <w:szCs w:val="24"/>
              <w:lang w:val="en-GB"/>
            </w:rPr>
            <w:t>1</w:t>
          </w:r>
          <w:r>
            <w:rPr>
              <w:rFonts w:ascii="Arial" w:hAnsi="Arial" w:cs="Arial"/>
              <w:b/>
              <w:sz w:val="24"/>
              <w:szCs w:val="24"/>
              <w:lang w:val="en-GB"/>
            </w:rPr>
            <w:t xml:space="preserve"> </w:t>
          </w:r>
          <w:r w:rsidR="00130F78">
            <w:rPr>
              <w:rFonts w:ascii="Arial" w:hAnsi="Arial" w:cs="Arial"/>
              <w:b/>
              <w:sz w:val="24"/>
              <w:szCs w:val="24"/>
              <w:lang w:val="en-GB"/>
            </w:rPr>
            <w:t>EDC-WFD</w:t>
          </w:r>
        </w:p>
      </w:tc>
      <w:tc>
        <w:tcPr>
          <w:tcW w:w="4394" w:type="dxa"/>
        </w:tcPr>
        <w:p w14:paraId="09673D02" w14:textId="4DEE81FE" w:rsidR="00C4345F" w:rsidRDefault="00C4345F" w:rsidP="00D35393">
          <w:pPr>
            <w:pStyle w:val="Header"/>
            <w:tabs>
              <w:tab w:val="left" w:pos="465"/>
              <w:tab w:val="right" w:pos="9638"/>
            </w:tabs>
            <w:jc w:val="right"/>
            <w:rPr>
              <w:rFonts w:ascii="Arial" w:hAnsi="Arial" w:cs="Arial"/>
              <w:b/>
              <w:lang w:val="en-GB"/>
            </w:rPr>
          </w:pPr>
          <w:r>
            <w:rPr>
              <w:noProof/>
              <w:lang w:val="fr-FR" w:eastAsia="fr-FR"/>
            </w:rPr>
            <w:drawing>
              <wp:inline distT="0" distB="0" distL="0" distR="0" wp14:anchorId="51FDCEE7" wp14:editId="1BB1F1E5">
                <wp:extent cx="1383258" cy="7143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amet (RGB) cc.jpg"/>
                        <pic:cNvPicPr/>
                      </pic:nvPicPr>
                      <pic:blipFill>
                        <a:blip r:embed="rId1">
                          <a:extLst>
                            <a:ext uri="{28A0092B-C50C-407E-A947-70E740481C1C}">
                              <a14:useLocalDpi xmlns:a14="http://schemas.microsoft.com/office/drawing/2010/main" val="0"/>
                            </a:ext>
                          </a:extLst>
                        </a:blip>
                        <a:stretch>
                          <a:fillRect/>
                        </a:stretch>
                      </pic:blipFill>
                      <pic:spPr>
                        <a:xfrm>
                          <a:off x="0" y="0"/>
                          <a:ext cx="1403723" cy="724944"/>
                        </a:xfrm>
                        <a:prstGeom prst="rect">
                          <a:avLst/>
                        </a:prstGeom>
                      </pic:spPr>
                    </pic:pic>
                  </a:graphicData>
                </a:graphic>
              </wp:inline>
            </w:drawing>
          </w:r>
        </w:p>
      </w:tc>
    </w:tr>
  </w:tbl>
  <w:p w14:paraId="09673D04" w14:textId="77777777" w:rsidR="00C4345F" w:rsidRPr="00B66FC4" w:rsidRDefault="00C4345F">
    <w:pPr>
      <w:pStyle w:val="Header"/>
      <w:tabs>
        <w:tab w:val="left" w:pos="465"/>
        <w:tab w:val="right" w:pos="9638"/>
      </w:tabs>
      <w:rPr>
        <w:rFonts w:ascii="Arial" w:hAnsi="Arial" w:cs="Arial"/>
        <w:b/>
        <w:sz w:val="2"/>
        <w:szCs w:val="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1E0" w:firstRow="1" w:lastRow="1" w:firstColumn="1" w:lastColumn="1" w:noHBand="0" w:noVBand="0"/>
    </w:tblPr>
    <w:tblGrid>
      <w:gridCol w:w="6062"/>
      <w:gridCol w:w="3685"/>
    </w:tblGrid>
    <w:tr w:rsidR="00C4345F" w14:paraId="09673D11" w14:textId="77777777" w:rsidTr="000A3790">
      <w:trPr>
        <w:cantSplit/>
        <w:trHeight w:hRule="exact" w:val="282"/>
      </w:trPr>
      <w:tc>
        <w:tcPr>
          <w:tcW w:w="6062" w:type="dxa"/>
        </w:tcPr>
        <w:p w14:paraId="09673D0F" w14:textId="0F69BF2D" w:rsidR="00C4345F" w:rsidRDefault="00C4345F" w:rsidP="006254B7">
          <w:pPr>
            <w:pStyle w:val="Header"/>
            <w:rPr>
              <w:rFonts w:ascii="Arial" w:hAnsi="Arial" w:cs="Arial"/>
              <w:b/>
              <w:sz w:val="24"/>
              <w:szCs w:val="24"/>
              <w:lang w:val="en-GB"/>
            </w:rPr>
          </w:pPr>
          <w:r>
            <w:rPr>
              <w:rFonts w:ascii="Arial" w:hAnsi="Arial" w:cs="Arial"/>
              <w:b/>
              <w:sz w:val="24"/>
              <w:szCs w:val="24"/>
              <w:lang w:val="en-GB"/>
            </w:rPr>
            <w:t>18NRM0</w:t>
          </w:r>
          <w:r w:rsidR="006D16D6">
            <w:rPr>
              <w:rFonts w:ascii="Arial" w:hAnsi="Arial" w:cs="Arial"/>
              <w:b/>
              <w:sz w:val="24"/>
              <w:szCs w:val="24"/>
              <w:lang w:val="en-GB"/>
            </w:rPr>
            <w:t>1</w:t>
          </w:r>
          <w:r>
            <w:rPr>
              <w:rFonts w:ascii="Arial" w:hAnsi="Arial" w:cs="Arial"/>
              <w:b/>
              <w:sz w:val="24"/>
              <w:szCs w:val="24"/>
              <w:lang w:val="en-GB"/>
            </w:rPr>
            <w:t xml:space="preserve"> </w:t>
          </w:r>
          <w:r w:rsidR="006D16D6">
            <w:rPr>
              <w:rFonts w:ascii="Arial" w:hAnsi="Arial" w:cs="Arial"/>
              <w:b/>
              <w:sz w:val="24"/>
              <w:szCs w:val="24"/>
              <w:lang w:val="en-GB"/>
            </w:rPr>
            <w:t>EDC-WFD</w:t>
          </w:r>
        </w:p>
      </w:tc>
      <w:tc>
        <w:tcPr>
          <w:tcW w:w="3685" w:type="dxa"/>
          <w:vMerge w:val="restart"/>
          <w:tcMar>
            <w:left w:w="0" w:type="dxa"/>
            <w:right w:w="0" w:type="dxa"/>
          </w:tcMar>
        </w:tcPr>
        <w:p w14:paraId="09673D10" w14:textId="269E962B" w:rsidR="00C4345F" w:rsidRDefault="00C4345F">
          <w:pPr>
            <w:pStyle w:val="Header"/>
            <w:jc w:val="right"/>
            <w:rPr>
              <w:rFonts w:ascii="Arial" w:hAnsi="Arial" w:cs="Arial"/>
              <w:b/>
              <w:sz w:val="24"/>
              <w:szCs w:val="24"/>
              <w:lang w:val="en-GB"/>
            </w:rPr>
          </w:pPr>
          <w:r>
            <w:rPr>
              <w:noProof/>
              <w:lang w:val="fr-FR" w:eastAsia="fr-FR"/>
            </w:rPr>
            <w:drawing>
              <wp:inline distT="0" distB="0" distL="0" distR="0" wp14:anchorId="2CF3AAE4" wp14:editId="445493E4">
                <wp:extent cx="1848033" cy="954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amet (RGB) cc.jpg"/>
                        <pic:cNvPicPr/>
                      </pic:nvPicPr>
                      <pic:blipFill>
                        <a:blip r:embed="rId1">
                          <a:extLst>
                            <a:ext uri="{28A0092B-C50C-407E-A947-70E740481C1C}">
                              <a14:useLocalDpi xmlns:a14="http://schemas.microsoft.com/office/drawing/2010/main" val="0"/>
                            </a:ext>
                          </a:extLst>
                        </a:blip>
                        <a:stretch>
                          <a:fillRect/>
                        </a:stretch>
                      </pic:blipFill>
                      <pic:spPr>
                        <a:xfrm>
                          <a:off x="0" y="0"/>
                          <a:ext cx="1870726" cy="966125"/>
                        </a:xfrm>
                        <a:prstGeom prst="rect">
                          <a:avLst/>
                        </a:prstGeom>
                      </pic:spPr>
                    </pic:pic>
                  </a:graphicData>
                </a:graphic>
              </wp:inline>
            </w:drawing>
          </w:r>
        </w:p>
      </w:tc>
    </w:tr>
    <w:tr w:rsidR="00C4345F" w:rsidRPr="00DC5582" w14:paraId="09673D18" w14:textId="77777777" w:rsidTr="000A3790">
      <w:trPr>
        <w:cantSplit/>
        <w:trHeight w:val="141"/>
      </w:trPr>
      <w:tc>
        <w:tcPr>
          <w:tcW w:w="6062" w:type="dxa"/>
        </w:tcPr>
        <w:p w14:paraId="09673D12" w14:textId="285FDB82" w:rsidR="00C4345F" w:rsidRDefault="00C4345F">
          <w:pPr>
            <w:pStyle w:val="Header"/>
            <w:rPr>
              <w:rFonts w:ascii="Arial" w:hAnsi="Arial" w:cs="Arial"/>
              <w:b/>
              <w:sz w:val="24"/>
              <w:szCs w:val="24"/>
              <w:lang w:val="en-GB"/>
            </w:rPr>
          </w:pPr>
        </w:p>
        <w:p w14:paraId="09673D14" w14:textId="77777777" w:rsidR="00C4345F" w:rsidRDefault="00C4345F">
          <w:pPr>
            <w:pStyle w:val="Header"/>
            <w:rPr>
              <w:rFonts w:ascii="Arial" w:hAnsi="Arial" w:cs="Arial"/>
              <w:b/>
              <w:sz w:val="24"/>
              <w:szCs w:val="24"/>
              <w:lang w:val="en-GB"/>
            </w:rPr>
          </w:pPr>
        </w:p>
        <w:p w14:paraId="09673D15" w14:textId="77777777" w:rsidR="00C4345F" w:rsidRDefault="00C4345F">
          <w:pPr>
            <w:pStyle w:val="Header"/>
            <w:rPr>
              <w:rFonts w:ascii="Arial" w:hAnsi="Arial" w:cs="Arial"/>
              <w:b/>
              <w:sz w:val="24"/>
              <w:szCs w:val="24"/>
              <w:lang w:val="en-GB"/>
            </w:rPr>
          </w:pPr>
        </w:p>
        <w:p w14:paraId="09673D16" w14:textId="0074D5AF" w:rsidR="00C4345F" w:rsidRDefault="00C4345F">
          <w:pPr>
            <w:pStyle w:val="Header"/>
            <w:rPr>
              <w:rFonts w:ascii="Arial" w:hAnsi="Arial" w:cs="Arial"/>
              <w:lang w:val="en-GB"/>
            </w:rPr>
          </w:pPr>
        </w:p>
      </w:tc>
      <w:tc>
        <w:tcPr>
          <w:tcW w:w="3685" w:type="dxa"/>
          <w:vMerge/>
          <w:tcMar>
            <w:left w:w="0" w:type="dxa"/>
            <w:right w:w="0" w:type="dxa"/>
          </w:tcMar>
        </w:tcPr>
        <w:p w14:paraId="09673D17" w14:textId="77777777" w:rsidR="00C4345F" w:rsidRDefault="00C4345F">
          <w:pPr>
            <w:pStyle w:val="Header"/>
            <w:jc w:val="right"/>
            <w:rPr>
              <w:noProof/>
              <w:sz w:val="16"/>
              <w:szCs w:val="16"/>
              <w:lang w:val="en-GB"/>
            </w:rPr>
          </w:pPr>
        </w:p>
      </w:tc>
    </w:tr>
    <w:tr w:rsidR="00C4345F" w14:paraId="09673D1B" w14:textId="77777777" w:rsidTr="000A3790">
      <w:trPr>
        <w:cantSplit/>
        <w:trHeight w:hRule="exact" w:val="370"/>
      </w:trPr>
      <w:tc>
        <w:tcPr>
          <w:tcW w:w="6062" w:type="dxa"/>
        </w:tcPr>
        <w:p w14:paraId="09673D19" w14:textId="77777777" w:rsidR="00C4345F" w:rsidRDefault="00B24DCB">
          <w:pPr>
            <w:pStyle w:val="Header"/>
            <w:rPr>
              <w:rFonts w:ascii="Arial" w:hAnsi="Arial" w:cs="Arial"/>
              <w:sz w:val="16"/>
              <w:szCs w:val="16"/>
              <w:lang w:val="en-GB"/>
            </w:rPr>
          </w:pPr>
          <w:r>
            <w:rPr>
              <w:rFonts w:ascii="Arial" w:hAnsi="Arial" w:cs="Arial"/>
              <w:sz w:val="16"/>
              <w:szCs w:val="16"/>
              <w:lang w:val="en-GB"/>
            </w:rPr>
            <w:pict w14:anchorId="09673D38">
              <v:rect id="_x0000_i1025" style="width:0;height:1.5pt" o:hralign="center" o:hrstd="t" o:hr="t" fillcolor="gray" stroked="f"/>
            </w:pict>
          </w:r>
        </w:p>
      </w:tc>
      <w:tc>
        <w:tcPr>
          <w:tcW w:w="3685" w:type="dxa"/>
          <w:vMerge/>
          <w:tcMar>
            <w:left w:w="0" w:type="dxa"/>
            <w:right w:w="0" w:type="dxa"/>
          </w:tcMar>
        </w:tcPr>
        <w:p w14:paraId="09673D1A" w14:textId="77777777" w:rsidR="00C4345F" w:rsidRDefault="00C4345F">
          <w:pPr>
            <w:pStyle w:val="Header"/>
            <w:jc w:val="right"/>
            <w:rPr>
              <w:noProof/>
              <w:sz w:val="16"/>
              <w:szCs w:val="16"/>
              <w:lang w:val="en-GB"/>
            </w:rPr>
          </w:pPr>
        </w:p>
      </w:tc>
    </w:tr>
  </w:tbl>
  <w:p w14:paraId="09673D1C" w14:textId="77777777" w:rsidR="00C4345F" w:rsidRDefault="00C4345F">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A4A"/>
    <w:multiLevelType w:val="hybridMultilevel"/>
    <w:tmpl w:val="7452D52E"/>
    <w:lvl w:ilvl="0" w:tplc="372AA0C6">
      <w:start w:val="3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62069"/>
    <w:multiLevelType w:val="hybridMultilevel"/>
    <w:tmpl w:val="0B82D19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9B84DDF"/>
    <w:multiLevelType w:val="hybridMultilevel"/>
    <w:tmpl w:val="09D0E6DC"/>
    <w:lvl w:ilvl="0" w:tplc="00FC2FE6">
      <w:start w:val="1"/>
      <w:numFmt w:val="decimal"/>
      <w:pStyle w:val="EMPIRnumberedlistlevel1"/>
      <w:lvlText w:val="%1."/>
      <w:lvlJc w:val="left"/>
      <w:pPr>
        <w:tabs>
          <w:tab w:val="num" w:pos="705"/>
        </w:tabs>
        <w:ind w:left="705" w:hanging="705"/>
      </w:pPr>
      <w:rPr>
        <w:rFonts w:hint="default"/>
      </w:rPr>
    </w:lvl>
    <w:lvl w:ilvl="1" w:tplc="89FE640E">
      <w:start w:val="1"/>
      <w:numFmt w:val="lowerLetter"/>
      <w:pStyle w:val="EMPIRnumberedlistlevel2"/>
      <w:lvlText w:val="%2."/>
      <w:lvlJc w:val="left"/>
      <w:pPr>
        <w:tabs>
          <w:tab w:val="num" w:pos="1080"/>
        </w:tabs>
        <w:ind w:left="1080" w:hanging="360"/>
      </w:pPr>
    </w:lvl>
    <w:lvl w:ilvl="2" w:tplc="A47835F4">
      <w:start w:val="1"/>
      <w:numFmt w:val="lowerRoman"/>
      <w:lvlText w:val="(%3)"/>
      <w:lvlJc w:val="left"/>
      <w:pPr>
        <w:tabs>
          <w:tab w:val="num" w:pos="2340"/>
        </w:tabs>
        <w:ind w:left="2340" w:hanging="720"/>
      </w:pPr>
      <w:rPr>
        <w:rFonts w:hint="default"/>
      </w:rPr>
    </w:lvl>
    <w:lvl w:ilvl="3" w:tplc="0FA2153A">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F54674C">
      <w:numFmt w:val="bullet"/>
      <w:lvlText w:val="•"/>
      <w:lvlJc w:val="left"/>
      <w:pPr>
        <w:ind w:left="4500" w:hanging="720"/>
      </w:pPr>
      <w:rPr>
        <w:rFonts w:ascii="Arial" w:eastAsia="Calibri" w:hAnsi="Arial" w:cs="Arial" w:hint="default"/>
      </w:rPr>
    </w:lvl>
    <w:lvl w:ilvl="6" w:tplc="495A7F24">
      <w:numFmt w:val="bullet"/>
      <w:lvlText w:val="-"/>
      <w:lvlJc w:val="left"/>
      <w:pPr>
        <w:ind w:left="5040" w:hanging="720"/>
      </w:pPr>
      <w:rPr>
        <w:rFonts w:ascii="Arial" w:eastAsia="Arial Unicode MS" w:hAnsi="Arial" w:cs="Arial"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CE4642"/>
    <w:multiLevelType w:val="hybridMultilevel"/>
    <w:tmpl w:val="4C584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81C6A"/>
    <w:multiLevelType w:val="hybridMultilevel"/>
    <w:tmpl w:val="634A7B46"/>
    <w:lvl w:ilvl="0" w:tplc="882C9CAA">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F033A47"/>
    <w:multiLevelType w:val="hybridMultilevel"/>
    <w:tmpl w:val="B680D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93097"/>
    <w:multiLevelType w:val="hybridMultilevel"/>
    <w:tmpl w:val="259C5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E4912"/>
    <w:multiLevelType w:val="hybridMultilevel"/>
    <w:tmpl w:val="EFE233C2"/>
    <w:lvl w:ilvl="0" w:tplc="0E3EE778">
      <w:start w:val="1"/>
      <w:numFmt w:val="bullet"/>
      <w:pStyle w:val="EMRPbulletslevel1"/>
      <w:lvlText w:val=""/>
      <w:lvlJc w:val="left"/>
      <w:pPr>
        <w:tabs>
          <w:tab w:val="num" w:pos="680"/>
        </w:tabs>
        <w:ind w:left="680" w:hanging="396"/>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A36502F"/>
    <w:multiLevelType w:val="hybridMultilevel"/>
    <w:tmpl w:val="772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F6A1D"/>
    <w:multiLevelType w:val="hybridMultilevel"/>
    <w:tmpl w:val="101C6E7A"/>
    <w:lvl w:ilvl="0" w:tplc="040C000F">
      <w:start w:val="1"/>
      <w:numFmt w:val="decimal"/>
      <w:lvlText w:val="%1."/>
      <w:lvlJc w:val="left"/>
      <w:pPr>
        <w:tabs>
          <w:tab w:val="num" w:pos="705"/>
        </w:tabs>
        <w:ind w:left="705" w:hanging="705"/>
      </w:pPr>
      <w:rPr>
        <w:rFonts w:hint="default"/>
      </w:rPr>
    </w:lvl>
    <w:lvl w:ilvl="1" w:tplc="89FE640E">
      <w:start w:val="1"/>
      <w:numFmt w:val="lowerLetter"/>
      <w:lvlText w:val="%2."/>
      <w:lvlJc w:val="left"/>
      <w:pPr>
        <w:tabs>
          <w:tab w:val="num" w:pos="1080"/>
        </w:tabs>
        <w:ind w:left="1080" w:hanging="360"/>
      </w:pPr>
    </w:lvl>
    <w:lvl w:ilvl="2" w:tplc="A47835F4">
      <w:start w:val="1"/>
      <w:numFmt w:val="lowerRoman"/>
      <w:lvlText w:val="(%3)"/>
      <w:lvlJc w:val="left"/>
      <w:pPr>
        <w:tabs>
          <w:tab w:val="num" w:pos="2340"/>
        </w:tabs>
        <w:ind w:left="2340" w:hanging="720"/>
      </w:pPr>
      <w:rPr>
        <w:rFonts w:hint="default"/>
      </w:rPr>
    </w:lvl>
    <w:lvl w:ilvl="3" w:tplc="0FA2153A">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F54674C">
      <w:numFmt w:val="bullet"/>
      <w:lvlText w:val="•"/>
      <w:lvlJc w:val="left"/>
      <w:pPr>
        <w:ind w:left="4500" w:hanging="720"/>
      </w:pPr>
      <w:rPr>
        <w:rFonts w:ascii="Arial" w:eastAsia="Calibri" w:hAnsi="Arial" w:cs="Aria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E3C2B33"/>
    <w:multiLevelType w:val="hybridMultilevel"/>
    <w:tmpl w:val="F3FEF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23461"/>
    <w:multiLevelType w:val="hybridMultilevel"/>
    <w:tmpl w:val="6BE011E0"/>
    <w:lvl w:ilvl="0" w:tplc="5EE86F96">
      <w:start w:val="1"/>
      <w:numFmt w:val="lowerLetter"/>
      <w:lvlText w:val="(%1)"/>
      <w:lvlJc w:val="left"/>
      <w:pPr>
        <w:tabs>
          <w:tab w:val="num" w:pos="502"/>
        </w:tabs>
        <w:ind w:left="502"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C7F50"/>
    <w:multiLevelType w:val="hybridMultilevel"/>
    <w:tmpl w:val="67B86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940F3"/>
    <w:multiLevelType w:val="hybridMultilevel"/>
    <w:tmpl w:val="259C5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2"/>
  </w:num>
  <w:num w:numId="5">
    <w:abstractNumId w:val="0"/>
  </w:num>
  <w:num w:numId="6">
    <w:abstractNumId w:val="5"/>
  </w:num>
  <w:num w:numId="7">
    <w:abstractNumId w:val="3"/>
  </w:num>
  <w:num w:numId="8">
    <w:abstractNumId w:val="10"/>
  </w:num>
  <w:num w:numId="9">
    <w:abstractNumId w:val="13"/>
  </w:num>
  <w:num w:numId="10">
    <w:abstractNumId w:val="11"/>
  </w:num>
  <w:num w:numId="11">
    <w:abstractNumId w:val="6"/>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TrackFormatting/>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90">
      <o:colormru v:ext="edit" colors="#00285b"/>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E59"/>
    <w:rsid w:val="000275A5"/>
    <w:rsid w:val="000827C2"/>
    <w:rsid w:val="000847FC"/>
    <w:rsid w:val="00084B34"/>
    <w:rsid w:val="0009466E"/>
    <w:rsid w:val="000A3790"/>
    <w:rsid w:val="000B39AD"/>
    <w:rsid w:val="000D1758"/>
    <w:rsid w:val="000D3558"/>
    <w:rsid w:val="000E1F39"/>
    <w:rsid w:val="000E545F"/>
    <w:rsid w:val="000F65A4"/>
    <w:rsid w:val="00100510"/>
    <w:rsid w:val="00120E77"/>
    <w:rsid w:val="00125BA3"/>
    <w:rsid w:val="00130F78"/>
    <w:rsid w:val="00141D2F"/>
    <w:rsid w:val="00143292"/>
    <w:rsid w:val="0016333A"/>
    <w:rsid w:val="00163F62"/>
    <w:rsid w:val="001848A8"/>
    <w:rsid w:val="00185373"/>
    <w:rsid w:val="001A36BC"/>
    <w:rsid w:val="001B0F79"/>
    <w:rsid w:val="001B29B0"/>
    <w:rsid w:val="001B6EB0"/>
    <w:rsid w:val="001C0255"/>
    <w:rsid w:val="001E24A9"/>
    <w:rsid w:val="001E6973"/>
    <w:rsid w:val="002406E3"/>
    <w:rsid w:val="00262FB1"/>
    <w:rsid w:val="00273FEE"/>
    <w:rsid w:val="0028207D"/>
    <w:rsid w:val="00287F50"/>
    <w:rsid w:val="00290A95"/>
    <w:rsid w:val="00294821"/>
    <w:rsid w:val="002D08B2"/>
    <w:rsid w:val="00303F17"/>
    <w:rsid w:val="00304847"/>
    <w:rsid w:val="00325A54"/>
    <w:rsid w:val="0033297F"/>
    <w:rsid w:val="003459F1"/>
    <w:rsid w:val="0038230D"/>
    <w:rsid w:val="00387871"/>
    <w:rsid w:val="003A1222"/>
    <w:rsid w:val="003C34D7"/>
    <w:rsid w:val="003C65C8"/>
    <w:rsid w:val="003E60FE"/>
    <w:rsid w:val="003F7499"/>
    <w:rsid w:val="0040685B"/>
    <w:rsid w:val="0042342A"/>
    <w:rsid w:val="00433FB8"/>
    <w:rsid w:val="00440069"/>
    <w:rsid w:val="0044072E"/>
    <w:rsid w:val="0045592B"/>
    <w:rsid w:val="00467611"/>
    <w:rsid w:val="00486CAA"/>
    <w:rsid w:val="004A53B0"/>
    <w:rsid w:val="004B6315"/>
    <w:rsid w:val="004C61DD"/>
    <w:rsid w:val="004F4E27"/>
    <w:rsid w:val="004F4E51"/>
    <w:rsid w:val="0050070E"/>
    <w:rsid w:val="005265D5"/>
    <w:rsid w:val="005329DF"/>
    <w:rsid w:val="00545CDF"/>
    <w:rsid w:val="0055221D"/>
    <w:rsid w:val="005527B4"/>
    <w:rsid w:val="00557A82"/>
    <w:rsid w:val="00565B66"/>
    <w:rsid w:val="005776CB"/>
    <w:rsid w:val="0058054C"/>
    <w:rsid w:val="005945D8"/>
    <w:rsid w:val="00595441"/>
    <w:rsid w:val="005B2805"/>
    <w:rsid w:val="005C1416"/>
    <w:rsid w:val="00607EFF"/>
    <w:rsid w:val="00614006"/>
    <w:rsid w:val="006236AE"/>
    <w:rsid w:val="00623E57"/>
    <w:rsid w:val="006254B7"/>
    <w:rsid w:val="006271DE"/>
    <w:rsid w:val="006410EF"/>
    <w:rsid w:val="00665D86"/>
    <w:rsid w:val="006A6C5D"/>
    <w:rsid w:val="006B291B"/>
    <w:rsid w:val="006B6CE0"/>
    <w:rsid w:val="006C68B6"/>
    <w:rsid w:val="006D0558"/>
    <w:rsid w:val="006D16D6"/>
    <w:rsid w:val="006D7141"/>
    <w:rsid w:val="006E25D7"/>
    <w:rsid w:val="007020FD"/>
    <w:rsid w:val="00711110"/>
    <w:rsid w:val="00722C84"/>
    <w:rsid w:val="007234B7"/>
    <w:rsid w:val="00746C6D"/>
    <w:rsid w:val="00771515"/>
    <w:rsid w:val="00777FC7"/>
    <w:rsid w:val="00787AE0"/>
    <w:rsid w:val="007B1293"/>
    <w:rsid w:val="007B78D8"/>
    <w:rsid w:val="007E5F2E"/>
    <w:rsid w:val="00814BD4"/>
    <w:rsid w:val="008176E6"/>
    <w:rsid w:val="00823440"/>
    <w:rsid w:val="0082596D"/>
    <w:rsid w:val="008358B5"/>
    <w:rsid w:val="00841EAD"/>
    <w:rsid w:val="008624B3"/>
    <w:rsid w:val="0086579B"/>
    <w:rsid w:val="00873068"/>
    <w:rsid w:val="008B6DD6"/>
    <w:rsid w:val="008C11DC"/>
    <w:rsid w:val="008C1285"/>
    <w:rsid w:val="008E1DD3"/>
    <w:rsid w:val="008E704C"/>
    <w:rsid w:val="008F4E09"/>
    <w:rsid w:val="00906464"/>
    <w:rsid w:val="009131D6"/>
    <w:rsid w:val="009161AC"/>
    <w:rsid w:val="00920B6A"/>
    <w:rsid w:val="00940F25"/>
    <w:rsid w:val="00944DD5"/>
    <w:rsid w:val="00957C63"/>
    <w:rsid w:val="0096683B"/>
    <w:rsid w:val="009938C7"/>
    <w:rsid w:val="009A3ED8"/>
    <w:rsid w:val="009B2B35"/>
    <w:rsid w:val="009F1391"/>
    <w:rsid w:val="00A02F70"/>
    <w:rsid w:val="00A420AB"/>
    <w:rsid w:val="00A53E6C"/>
    <w:rsid w:val="00A57B10"/>
    <w:rsid w:val="00A7566B"/>
    <w:rsid w:val="00A81192"/>
    <w:rsid w:val="00A860C5"/>
    <w:rsid w:val="00A93BFF"/>
    <w:rsid w:val="00AA534B"/>
    <w:rsid w:val="00AC23AD"/>
    <w:rsid w:val="00AC2AEE"/>
    <w:rsid w:val="00AC751D"/>
    <w:rsid w:val="00AE5754"/>
    <w:rsid w:val="00B16822"/>
    <w:rsid w:val="00B24DCB"/>
    <w:rsid w:val="00B31A28"/>
    <w:rsid w:val="00B66FC4"/>
    <w:rsid w:val="00B72E59"/>
    <w:rsid w:val="00B7724E"/>
    <w:rsid w:val="00BE28BB"/>
    <w:rsid w:val="00C04A96"/>
    <w:rsid w:val="00C06660"/>
    <w:rsid w:val="00C10F79"/>
    <w:rsid w:val="00C236DE"/>
    <w:rsid w:val="00C23B86"/>
    <w:rsid w:val="00C34776"/>
    <w:rsid w:val="00C4345F"/>
    <w:rsid w:val="00C74E73"/>
    <w:rsid w:val="00C959D4"/>
    <w:rsid w:val="00CB2687"/>
    <w:rsid w:val="00CF4741"/>
    <w:rsid w:val="00D011BC"/>
    <w:rsid w:val="00D137B9"/>
    <w:rsid w:val="00D218AA"/>
    <w:rsid w:val="00D35393"/>
    <w:rsid w:val="00D3743D"/>
    <w:rsid w:val="00D70999"/>
    <w:rsid w:val="00D7633B"/>
    <w:rsid w:val="00D82356"/>
    <w:rsid w:val="00D97C08"/>
    <w:rsid w:val="00DB748C"/>
    <w:rsid w:val="00DC2CF7"/>
    <w:rsid w:val="00DC5582"/>
    <w:rsid w:val="00DE2D5E"/>
    <w:rsid w:val="00DF53F6"/>
    <w:rsid w:val="00E03506"/>
    <w:rsid w:val="00E03AB5"/>
    <w:rsid w:val="00E23AE1"/>
    <w:rsid w:val="00E27718"/>
    <w:rsid w:val="00E65F06"/>
    <w:rsid w:val="00E72C3F"/>
    <w:rsid w:val="00E80484"/>
    <w:rsid w:val="00E83884"/>
    <w:rsid w:val="00E903CC"/>
    <w:rsid w:val="00E92DED"/>
    <w:rsid w:val="00E95208"/>
    <w:rsid w:val="00E97989"/>
    <w:rsid w:val="00EB1B5C"/>
    <w:rsid w:val="00EC5809"/>
    <w:rsid w:val="00EE3074"/>
    <w:rsid w:val="00EF3DE0"/>
    <w:rsid w:val="00EF4E2F"/>
    <w:rsid w:val="00EF7FC5"/>
    <w:rsid w:val="00F24CFA"/>
    <w:rsid w:val="00F33779"/>
    <w:rsid w:val="00F35B0B"/>
    <w:rsid w:val="00F43AD5"/>
    <w:rsid w:val="00F56287"/>
    <w:rsid w:val="00F60CE9"/>
    <w:rsid w:val="00F665FA"/>
    <w:rsid w:val="00F808B8"/>
    <w:rsid w:val="00F82CF4"/>
    <w:rsid w:val="00F90D60"/>
    <w:rsid w:val="00F95AB2"/>
    <w:rsid w:val="00FA2073"/>
    <w:rsid w:val="00FA451C"/>
    <w:rsid w:val="00FB4C0D"/>
    <w:rsid w:val="00FB6AB1"/>
    <w:rsid w:val="00FD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00285b"/>
    </o:shapedefaults>
    <o:shapelayout v:ext="edit">
      <o:idmap v:ext="edit" data="1"/>
    </o:shapelayout>
  </w:shapeDefaults>
  <w:decimalSymbol w:val="."/>
  <w:listSeparator w:val=","/>
  <w14:docId w14:val="09673C9E"/>
  <w15:docId w15:val="{FAF5325F-67E0-409F-90BF-F2218470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e-DE" w:eastAsia="de-DE"/>
    </w:rPr>
  </w:style>
  <w:style w:type="paragraph" w:styleId="Heading1">
    <w:name w:val="heading 1"/>
    <w:basedOn w:val="Normal"/>
    <w:next w:val="Normal"/>
    <w:qFormat/>
    <w:pPr>
      <w:keepNext/>
      <w:jc w:val="center"/>
      <w:outlineLvl w:val="0"/>
    </w:pPr>
    <w:rPr>
      <w:rFonts w:ascii="Arial" w:eastAsia="SimSun" w:hAnsi="Arial" w:cs="Arial"/>
      <w:b/>
      <w:bCs/>
      <w:sz w:val="28"/>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spacing w:before="60"/>
      <w:ind w:left="57"/>
    </w:pPr>
    <w:rPr>
      <w:rFonts w:ascii="Arial" w:hAnsi="Arial" w:cs="Arial"/>
      <w:bCs/>
      <w:color w:val="000000"/>
      <w:sz w:val="14"/>
      <w:szCs w:val="14"/>
    </w:rPr>
  </w:style>
  <w:style w:type="paragraph" w:styleId="BodyText">
    <w:name w:val="Body Text"/>
    <w:basedOn w:val="Normal"/>
    <w:semiHidden/>
    <w:pPr>
      <w:spacing w:before="40" w:after="40"/>
    </w:pPr>
    <w:rPr>
      <w:rFonts w:ascii="Arial" w:hAnsi="Arial" w:cs="Arial"/>
      <w:bCs/>
      <w:color w:val="000000"/>
      <w:sz w:val="14"/>
      <w:szCs w:val="14"/>
      <w:lang w:val="en-GB" w:eastAsia="en-US"/>
    </w:rPr>
  </w:style>
  <w:style w:type="paragraph" w:styleId="BodyText2">
    <w:name w:val="Body Text 2"/>
    <w:basedOn w:val="Normal"/>
    <w:link w:val="BodyText2Char"/>
    <w:semiHidden/>
    <w:rPr>
      <w:rFonts w:ascii="Arial" w:eastAsia="SimSun" w:hAnsi="Arial" w:cs="Arial"/>
      <w:sz w:val="22"/>
      <w:lang w:eastAsia="zh-CN"/>
    </w:rPr>
  </w:style>
  <w:style w:type="paragraph" w:customStyle="1" w:styleId="EMRPbodytext">
    <w:name w:val="EMRP body text"/>
    <w:basedOn w:val="Normal"/>
    <w:link w:val="EMRPbodytextChar"/>
    <w:qFormat/>
    <w:pPr>
      <w:spacing w:before="120"/>
      <w:jc w:val="both"/>
    </w:pPr>
    <w:rPr>
      <w:rFonts w:ascii="Arial" w:hAnsi="Arial"/>
      <w:lang w:val="en-GB"/>
    </w:rPr>
  </w:style>
  <w:style w:type="paragraph" w:styleId="TOC3">
    <w:name w:val="toc 3"/>
    <w:basedOn w:val="Normal"/>
    <w:next w:val="Normal"/>
    <w:autoRedefine/>
    <w:semiHidden/>
    <w:pPr>
      <w:tabs>
        <w:tab w:val="left" w:pos="1276"/>
        <w:tab w:val="right" w:leader="dot" w:pos="9639"/>
      </w:tabs>
    </w:pPr>
    <w:rPr>
      <w:rFonts w:ascii="Arial" w:hAnsi="Arial" w:cs="Arial"/>
      <w:b/>
      <w:bCs/>
      <w:noProof/>
      <w:lang w:val="en-GB" w:eastAsia="en-US"/>
    </w:rPr>
  </w:style>
  <w:style w:type="paragraph" w:customStyle="1" w:styleId="EMRPbulletslevel1">
    <w:name w:val="EMRP bullets level1"/>
    <w:rsid w:val="00B31A28"/>
    <w:pPr>
      <w:numPr>
        <w:numId w:val="1"/>
      </w:numPr>
    </w:pPr>
    <w:rPr>
      <w:rFonts w:ascii="Arial" w:hAnsi="Arial"/>
      <w:lang w:eastAsia="en-US"/>
    </w:rPr>
  </w:style>
  <w:style w:type="character" w:customStyle="1" w:styleId="BodyText2Char">
    <w:name w:val="Body Text 2 Char"/>
    <w:basedOn w:val="DefaultParagraphFont"/>
    <w:link w:val="BodyText2"/>
    <w:semiHidden/>
    <w:rsid w:val="0045592B"/>
    <w:rPr>
      <w:rFonts w:ascii="Arial" w:eastAsia="SimSun" w:hAnsi="Arial" w:cs="Arial"/>
      <w:sz w:val="22"/>
      <w:lang w:val="de-DE" w:eastAsia="zh-CN"/>
    </w:rPr>
  </w:style>
  <w:style w:type="character" w:customStyle="1" w:styleId="EMRPbodytextChar">
    <w:name w:val="EMRP body text Char"/>
    <w:link w:val="EMRPbodytext"/>
    <w:uiPriority w:val="99"/>
    <w:rsid w:val="0033297F"/>
    <w:rPr>
      <w:rFonts w:ascii="Arial" w:hAnsi="Arial"/>
      <w:lang w:eastAsia="de-DE"/>
    </w:rPr>
  </w:style>
  <w:style w:type="character" w:customStyle="1" w:styleId="HeaderChar">
    <w:name w:val="Header Char"/>
    <w:link w:val="Header"/>
    <w:rsid w:val="0033297F"/>
    <w:rPr>
      <w:lang w:val="de-DE" w:eastAsia="de-DE"/>
    </w:rPr>
  </w:style>
  <w:style w:type="paragraph" w:styleId="ListParagraph">
    <w:name w:val="List Paragraph"/>
    <w:basedOn w:val="Normal"/>
    <w:qFormat/>
    <w:rsid w:val="00711110"/>
    <w:pPr>
      <w:ind w:left="720"/>
    </w:pPr>
    <w:rPr>
      <w:rFonts w:ascii="Calibri" w:eastAsia="Calibri" w:hAnsi="Calibri" w:cs="Calibri"/>
      <w:sz w:val="22"/>
      <w:szCs w:val="22"/>
      <w:lang w:val="en-GB" w:eastAsia="en-US"/>
    </w:rPr>
  </w:style>
  <w:style w:type="paragraph" w:styleId="NormalWeb">
    <w:name w:val="Normal (Web)"/>
    <w:basedOn w:val="Normal"/>
    <w:uiPriority w:val="99"/>
    <w:unhideWhenUsed/>
    <w:rsid w:val="006236AE"/>
    <w:pPr>
      <w:spacing w:before="100" w:beforeAutospacing="1" w:after="100" w:afterAutospacing="1"/>
    </w:pPr>
    <w:rPr>
      <w:sz w:val="24"/>
      <w:szCs w:val="24"/>
      <w:lang w:val="en-GB" w:eastAsia="en-GB"/>
    </w:rPr>
  </w:style>
  <w:style w:type="character" w:styleId="CommentReference">
    <w:name w:val="annotation reference"/>
    <w:basedOn w:val="DefaultParagraphFont"/>
    <w:uiPriority w:val="99"/>
    <w:semiHidden/>
    <w:unhideWhenUsed/>
    <w:rsid w:val="0050070E"/>
    <w:rPr>
      <w:sz w:val="16"/>
      <w:szCs w:val="16"/>
    </w:rPr>
  </w:style>
  <w:style w:type="paragraph" w:styleId="CommentText">
    <w:name w:val="annotation text"/>
    <w:basedOn w:val="Normal"/>
    <w:link w:val="CommentTextChar"/>
    <w:semiHidden/>
    <w:unhideWhenUsed/>
    <w:qFormat/>
    <w:rsid w:val="000E545F"/>
    <w:rPr>
      <w:rFonts w:ascii="Tahoma" w:hAnsi="Tahoma"/>
    </w:rPr>
  </w:style>
  <w:style w:type="character" w:customStyle="1" w:styleId="CommentTextChar">
    <w:name w:val="Comment Text Char"/>
    <w:basedOn w:val="DefaultParagraphFont"/>
    <w:link w:val="CommentText"/>
    <w:semiHidden/>
    <w:rsid w:val="000E545F"/>
    <w:rPr>
      <w:rFonts w:ascii="Tahoma" w:hAnsi="Tahoma"/>
      <w:lang w:val="de-DE" w:eastAsia="de-DE"/>
    </w:rPr>
  </w:style>
  <w:style w:type="paragraph" w:styleId="CommentSubject">
    <w:name w:val="annotation subject"/>
    <w:basedOn w:val="CommentText"/>
    <w:next w:val="CommentText"/>
    <w:link w:val="CommentSubjectChar"/>
    <w:uiPriority w:val="99"/>
    <w:semiHidden/>
    <w:unhideWhenUsed/>
    <w:rsid w:val="0050070E"/>
    <w:rPr>
      <w:b/>
      <w:bCs/>
    </w:rPr>
  </w:style>
  <w:style w:type="character" w:customStyle="1" w:styleId="CommentSubjectChar">
    <w:name w:val="Comment Subject Char"/>
    <w:basedOn w:val="CommentTextChar"/>
    <w:link w:val="CommentSubject"/>
    <w:uiPriority w:val="99"/>
    <w:semiHidden/>
    <w:rsid w:val="0050070E"/>
    <w:rPr>
      <w:rFonts w:ascii="Tahoma" w:hAnsi="Tahoma"/>
      <w:b/>
      <w:bCs/>
      <w:lang w:val="de-DE" w:eastAsia="de-DE"/>
    </w:rPr>
  </w:style>
  <w:style w:type="paragraph" w:customStyle="1" w:styleId="EMPIRbodytext">
    <w:name w:val="EMPIR body text"/>
    <w:basedOn w:val="Normal"/>
    <w:link w:val="EMPIRbodytextChar"/>
    <w:qFormat/>
    <w:rsid w:val="007234B7"/>
    <w:pPr>
      <w:spacing w:before="120"/>
      <w:jc w:val="both"/>
    </w:pPr>
    <w:rPr>
      <w:rFonts w:ascii="Arial" w:hAnsi="Arial"/>
      <w:lang w:val="en-GB"/>
    </w:rPr>
  </w:style>
  <w:style w:type="character" w:customStyle="1" w:styleId="EMPIRbodytextChar">
    <w:name w:val="EMPIR body text Char"/>
    <w:link w:val="EMPIRbodytext"/>
    <w:qFormat/>
    <w:rsid w:val="007234B7"/>
    <w:rPr>
      <w:rFonts w:ascii="Arial" w:hAnsi="Arial"/>
      <w:lang w:eastAsia="de-DE"/>
    </w:rPr>
  </w:style>
  <w:style w:type="paragraph" w:customStyle="1" w:styleId="EMPIRnumberedlistlevel1">
    <w:name w:val="EMPIR numbered list level1"/>
    <w:basedOn w:val="EMPIRbodytext"/>
    <w:link w:val="EMPIRnumberedlistlevel1Carattere"/>
    <w:uiPriority w:val="99"/>
    <w:rsid w:val="00E97989"/>
    <w:pPr>
      <w:numPr>
        <w:numId w:val="13"/>
      </w:numPr>
      <w:tabs>
        <w:tab w:val="left" w:pos="851"/>
      </w:tabs>
    </w:pPr>
  </w:style>
  <w:style w:type="paragraph" w:customStyle="1" w:styleId="EMPIRnumberedlistlevel2">
    <w:name w:val="EMPIR numbered list level2"/>
    <w:basedOn w:val="EMPIRnumberedlistlevel1"/>
    <w:uiPriority w:val="99"/>
    <w:rsid w:val="00E97989"/>
    <w:pPr>
      <w:numPr>
        <w:ilvl w:val="1"/>
      </w:numPr>
      <w:tabs>
        <w:tab w:val="clear" w:pos="1080"/>
        <w:tab w:val="num" w:pos="851"/>
      </w:tabs>
      <w:spacing w:before="0"/>
      <w:ind w:left="850" w:hanging="425"/>
    </w:pPr>
  </w:style>
  <w:style w:type="character" w:customStyle="1" w:styleId="EMPIRnumberedlistlevel1Carattere">
    <w:name w:val="EMPIR numbered list level1 Carattere"/>
    <w:link w:val="EMPIRnumberedlistlevel1"/>
    <w:uiPriority w:val="99"/>
    <w:rsid w:val="006D16D6"/>
    <w:rPr>
      <w:rFonts w:ascii="Arial" w:hAnsi="Arial"/>
      <w:lang w:eastAsia="de-DE"/>
    </w:rPr>
  </w:style>
  <w:style w:type="character" w:customStyle="1" w:styleId="UnresolvedMention1">
    <w:name w:val="Unresolved Mention1"/>
    <w:basedOn w:val="DefaultParagraphFont"/>
    <w:uiPriority w:val="99"/>
    <w:semiHidden/>
    <w:unhideWhenUsed/>
    <w:rsid w:val="00130F78"/>
    <w:rPr>
      <w:color w:val="605E5C"/>
      <w:shd w:val="clear" w:color="auto" w:fill="E1DFDD"/>
    </w:rPr>
  </w:style>
  <w:style w:type="character" w:styleId="UnresolvedMention">
    <w:name w:val="Unresolved Mention"/>
    <w:basedOn w:val="DefaultParagraphFont"/>
    <w:uiPriority w:val="99"/>
    <w:semiHidden/>
    <w:unhideWhenUsed/>
    <w:rsid w:val="00AC7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6686">
      <w:bodyDiv w:val="1"/>
      <w:marLeft w:val="0"/>
      <w:marRight w:val="0"/>
      <w:marTop w:val="0"/>
      <w:marBottom w:val="0"/>
      <w:divBdr>
        <w:top w:val="none" w:sz="0" w:space="0" w:color="auto"/>
        <w:left w:val="none" w:sz="0" w:space="0" w:color="auto"/>
        <w:bottom w:val="none" w:sz="0" w:space="0" w:color="auto"/>
        <w:right w:val="none" w:sz="0" w:space="0" w:color="auto"/>
      </w:divBdr>
    </w:div>
    <w:div w:id="20234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ojects.lne.eu/jrp-edc-wf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e.lardy-fontan@lne.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9C7718FBBE2428D6791559EEECF6D" ma:contentTypeVersion="7" ma:contentTypeDescription="Create a new document." ma:contentTypeScope="" ma:versionID="0118eb88c3ce658780ddac1e5e4bf88f">
  <xsd:schema xmlns:xsd="http://www.w3.org/2001/XMLSchema" xmlns:xs="http://www.w3.org/2001/XMLSchema" xmlns:p="http://schemas.microsoft.com/office/2006/metadata/properties" xmlns:ns3="f43259eb-ee5b-41eb-a709-0c7246c83d0c" targetNamespace="http://schemas.microsoft.com/office/2006/metadata/properties" ma:root="true" ma:fieldsID="aba569e9c7cbc8a3df76577a8bd2dcc0" ns3:_="">
    <xsd:import namespace="f43259eb-ee5b-41eb-a709-0c7246c83d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259eb-ee5b-41eb-a709-0c7246c83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A54F-335E-40DA-A024-03DBD573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259eb-ee5b-41eb-a709-0c7246c83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91E77-273D-43AA-8484-5BA63AEDC488}">
  <ds:schemaRefs>
    <ds:schemaRef ds:uri="http://schemas.microsoft.com/sharepoint/v3/contenttype/forms"/>
  </ds:schemaRefs>
</ds:datastoreItem>
</file>

<file path=customXml/itemProps3.xml><?xml version="1.0" encoding="utf-8"?>
<ds:datastoreItem xmlns:ds="http://schemas.openxmlformats.org/officeDocument/2006/customXml" ds:itemID="{C88117B7-A732-49C1-8EA8-41B1479948EF}">
  <ds:schemaRefs>
    <ds:schemaRef ds:uri="http://schemas.microsoft.com/office/2006/documentManagement/types"/>
    <ds:schemaRef ds:uri="http://purl.org/dc/elements/1.1/"/>
    <ds:schemaRef ds:uri="http://schemas.microsoft.com/office/2006/metadata/properties"/>
    <ds:schemaRef ds:uri="f43259eb-ee5b-41eb-a709-0c7246c83d0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CC246E1-F793-4511-BC23-5B4C8C66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2163</Words>
  <Characters>12331</Characters>
  <Application>Microsoft Office Word</Application>
  <DocSecurity>4</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EMRP-template (document)</vt:lpstr>
      <vt:lpstr>EMRP-template (document)</vt:lpstr>
    </vt:vector>
  </TitlesOfParts>
  <Company>PTB Braunschweig &amp; Berlin</Company>
  <LinksUpToDate>false</LinksUpToDate>
  <CharactersWithSpaces>14466</CharactersWithSpaces>
  <SharedDoc>false</SharedDoc>
  <HLinks>
    <vt:vector size="18" baseType="variant">
      <vt:variant>
        <vt:i4>3080282</vt:i4>
      </vt:variant>
      <vt:variant>
        <vt:i4>2493</vt:i4>
      </vt:variant>
      <vt:variant>
        <vt:i4>1027</vt:i4>
      </vt:variant>
      <vt:variant>
        <vt:i4>1</vt:i4>
      </vt:variant>
      <vt:variant>
        <vt:lpwstr>EURAMET-Logo_S</vt:lpwstr>
      </vt:variant>
      <vt:variant>
        <vt:lpwstr/>
      </vt:variant>
      <vt:variant>
        <vt:i4>3080282</vt:i4>
      </vt:variant>
      <vt:variant>
        <vt:i4>2641</vt:i4>
      </vt:variant>
      <vt:variant>
        <vt:i4>1028</vt:i4>
      </vt:variant>
      <vt:variant>
        <vt:i4>1</vt:i4>
      </vt:variant>
      <vt:variant>
        <vt:lpwstr>EURAMET-Logo_S</vt:lpwstr>
      </vt:variant>
      <vt:variant>
        <vt:lpwstr/>
      </vt:variant>
      <vt:variant>
        <vt:i4>3080282</vt:i4>
      </vt:variant>
      <vt:variant>
        <vt:i4>2757</vt:i4>
      </vt:variant>
      <vt:variant>
        <vt:i4>1026</vt:i4>
      </vt:variant>
      <vt:variant>
        <vt:i4>1</vt:i4>
      </vt:variant>
      <vt:variant>
        <vt:lpwstr>EURAMET-Logo_S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EMRP-template (document)</dc:title>
  <dc:creator>EMRP-MSU</dc:creator>
  <cp:lastModifiedBy>William Dawson</cp:lastModifiedBy>
  <cp:revision>2</cp:revision>
  <cp:lastPrinted>2015-08-27T10:36:00Z</cp:lastPrinted>
  <dcterms:created xsi:type="dcterms:W3CDTF">2019-09-27T09:44:00Z</dcterms:created>
  <dcterms:modified xsi:type="dcterms:W3CDTF">2019-09-27T09:44:00Z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y fmtid="{D5CDD505-2E9C-101B-9397-08002B2CF9AE}" pid="4" name="ContentTypeId">
    <vt:lpwstr>0x010100CA09C7718FBBE2428D6791559EEECF6D</vt:lpwstr>
  </property>
</Properties>
</file>